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76" w:rsidRDefault="00482A76"/>
    <w:tbl>
      <w:tblPr>
        <w:tblStyle w:val="Tabellenraster"/>
        <w:tblW w:w="0" w:type="auto"/>
        <w:tblLook w:val="04A0" w:firstRow="1" w:lastRow="0" w:firstColumn="1" w:lastColumn="0" w:noHBand="0" w:noVBand="1"/>
      </w:tblPr>
      <w:tblGrid>
        <w:gridCol w:w="4673"/>
        <w:gridCol w:w="4111"/>
        <w:gridCol w:w="3827"/>
      </w:tblGrid>
      <w:tr w:rsidR="00B56E1F" w:rsidRPr="00951509" w:rsidTr="0082313C">
        <w:trPr>
          <w:tblHeader/>
        </w:trPr>
        <w:tc>
          <w:tcPr>
            <w:tcW w:w="4673" w:type="dxa"/>
          </w:tcPr>
          <w:p w:rsidR="00B56E1F" w:rsidRPr="00477502" w:rsidRDefault="00B56E1F" w:rsidP="00E7264A">
            <w:pPr>
              <w:pStyle w:val="KeinLeerraum"/>
              <w:rPr>
                <w:rFonts w:asciiTheme="minorHAnsi" w:hAnsiTheme="minorHAnsi" w:cstheme="minorHAnsi"/>
                <w:b/>
              </w:rPr>
            </w:pPr>
            <w:bookmarkStart w:id="0" w:name="_GoBack"/>
            <w:bookmarkEnd w:id="0"/>
            <w:r w:rsidRPr="00477502">
              <w:rPr>
                <w:rFonts w:asciiTheme="minorHAnsi" w:hAnsiTheme="minorHAnsi" w:cstheme="minorHAnsi"/>
                <w:b/>
              </w:rPr>
              <w:t>E-FinfraV</w:t>
            </w:r>
          </w:p>
        </w:tc>
        <w:tc>
          <w:tcPr>
            <w:tcW w:w="4111" w:type="dxa"/>
            <w:shd w:val="clear" w:color="auto" w:fill="auto"/>
          </w:tcPr>
          <w:p w:rsidR="00B56E1F" w:rsidRPr="00477502" w:rsidRDefault="00B56E1F" w:rsidP="00E7264A">
            <w:pPr>
              <w:pStyle w:val="KeinLeerraum"/>
              <w:rPr>
                <w:rFonts w:asciiTheme="minorHAnsi" w:hAnsiTheme="minorHAnsi" w:cstheme="minorHAnsi"/>
                <w:b/>
              </w:rPr>
            </w:pPr>
            <w:r w:rsidRPr="00477502">
              <w:rPr>
                <w:rFonts w:asciiTheme="minorHAnsi" w:hAnsiTheme="minorHAnsi" w:cstheme="minorHAnsi"/>
                <w:b/>
              </w:rPr>
              <w:t>Anpassungsvorschläge</w:t>
            </w:r>
          </w:p>
        </w:tc>
        <w:tc>
          <w:tcPr>
            <w:tcW w:w="3827" w:type="dxa"/>
          </w:tcPr>
          <w:p w:rsidR="00B56E1F" w:rsidRPr="00477502" w:rsidRDefault="00B56E1F" w:rsidP="00E7264A">
            <w:pPr>
              <w:pStyle w:val="KeinLeerraum"/>
              <w:rPr>
                <w:rFonts w:asciiTheme="minorHAnsi" w:hAnsiTheme="minorHAnsi" w:cstheme="minorHAnsi"/>
                <w:b/>
              </w:rPr>
            </w:pPr>
            <w:r w:rsidRPr="00477502">
              <w:rPr>
                <w:rFonts w:asciiTheme="minorHAnsi" w:hAnsiTheme="minorHAnsi" w:cstheme="minorHAnsi"/>
                <w:b/>
              </w:rPr>
              <w:t>Begründung / Bemerkungen</w:t>
            </w:r>
          </w:p>
        </w:tc>
      </w:tr>
      <w:tr w:rsidR="00B56E1F" w:rsidTr="0082313C">
        <w:tc>
          <w:tcPr>
            <w:tcW w:w="4673" w:type="dxa"/>
            <w:shd w:val="clear" w:color="auto" w:fill="D9D9D9" w:themeFill="background2" w:themeFillShade="D9"/>
          </w:tcPr>
          <w:p w:rsidR="00B56E1F" w:rsidRPr="00477502" w:rsidRDefault="00B56E1F" w:rsidP="00E7264A">
            <w:pPr>
              <w:pStyle w:val="KeinLeerraum"/>
              <w:rPr>
                <w:rFonts w:asciiTheme="minorHAnsi" w:hAnsiTheme="minorHAnsi" w:cstheme="minorHAnsi"/>
              </w:rPr>
            </w:pPr>
            <w:r w:rsidRPr="00477502">
              <w:rPr>
                <w:rFonts w:asciiTheme="minorHAnsi" w:hAnsiTheme="minorHAnsi" w:cstheme="minorHAnsi"/>
              </w:rPr>
              <w:t>1. Titel: Allgemeine Bestimmungen</w:t>
            </w:r>
          </w:p>
        </w:tc>
        <w:tc>
          <w:tcPr>
            <w:tcW w:w="4111" w:type="dxa"/>
            <w:shd w:val="clear" w:color="auto" w:fill="D9D9D9" w:themeFill="background2" w:themeFillShade="D9"/>
          </w:tcPr>
          <w:p w:rsidR="00B56E1F" w:rsidRPr="00477502" w:rsidRDefault="00B56E1F" w:rsidP="00E7264A">
            <w:pPr>
              <w:pStyle w:val="KeinLeerraum"/>
              <w:rPr>
                <w:rFonts w:asciiTheme="minorHAnsi" w:hAnsiTheme="minorHAnsi" w:cstheme="minorHAnsi"/>
              </w:rPr>
            </w:pPr>
          </w:p>
        </w:tc>
        <w:tc>
          <w:tcPr>
            <w:tcW w:w="3827" w:type="dxa"/>
            <w:shd w:val="clear" w:color="auto" w:fill="D9D9D9" w:themeFill="background2" w:themeFillShade="D9"/>
          </w:tcPr>
          <w:p w:rsidR="00B56E1F" w:rsidRPr="00477502" w:rsidRDefault="00B56E1F" w:rsidP="00E7264A">
            <w:pPr>
              <w:pStyle w:val="KeinLeerraum"/>
              <w:rPr>
                <w:rFonts w:asciiTheme="minorHAnsi" w:hAnsiTheme="minorHAnsi" w:cstheme="minorHAnsi"/>
              </w:rPr>
            </w:pPr>
          </w:p>
        </w:tc>
      </w:tr>
      <w:tr w:rsidR="00B56E1F" w:rsidRPr="00282D7A" w:rsidTr="0082313C">
        <w:tc>
          <w:tcPr>
            <w:tcW w:w="4673"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Art. 2 Begriffe</w:t>
            </w:r>
          </w:p>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(Art. 2 Bst. b und c FinfraG)</w:t>
            </w:r>
          </w:p>
        </w:tc>
        <w:tc>
          <w:tcPr>
            <w:tcW w:w="4111"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p>
        </w:tc>
        <w:tc>
          <w:tcPr>
            <w:tcW w:w="3827"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p>
        </w:tc>
      </w:tr>
      <w:tr w:rsidR="00B56E1F" w:rsidRPr="00282D7A" w:rsidTr="0082313C">
        <w:tc>
          <w:tcPr>
            <w:tcW w:w="4673" w:type="dxa"/>
          </w:tcPr>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1</w:t>
            </w:r>
            <w:r w:rsidR="00774432" w:rsidRPr="00477502">
              <w:rPr>
                <w:rFonts w:asciiTheme="minorHAnsi" w:hAnsiTheme="minorHAnsi" w:cstheme="minorHAnsi"/>
                <w:lang w:val="de-CH"/>
              </w:rPr>
              <w:t>……</w:t>
            </w:r>
          </w:p>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2 Als Derivate gelten Finanzkontrakte, deren Preis abgeleitet wird von:</w:t>
            </w:r>
          </w:p>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a. Kassageschäfte;</w:t>
            </w:r>
          </w:p>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b. Derivatgeschäfte in Bezug auf Strom und Gas, die:</w:t>
            </w:r>
          </w:p>
          <w:p w:rsidR="00B56E1F" w:rsidRPr="00477502" w:rsidRDefault="00B56E1F"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1. </w:t>
            </w:r>
            <w:r w:rsidR="00343817" w:rsidRPr="00477502">
              <w:rPr>
                <w:rFonts w:asciiTheme="minorHAnsi" w:hAnsiTheme="minorHAnsi" w:cstheme="minorHAnsi"/>
                <w:lang w:val="de-CH"/>
              </w:rPr>
              <w:t>……..</w:t>
            </w:r>
          </w:p>
        </w:tc>
        <w:tc>
          <w:tcPr>
            <w:tcW w:w="4111" w:type="dxa"/>
            <w:shd w:val="clear" w:color="auto" w:fill="auto"/>
          </w:tcPr>
          <w:p w:rsidR="00B56E1F" w:rsidRPr="00477502" w:rsidRDefault="00B56E1F" w:rsidP="00F507E9">
            <w:pPr>
              <w:pStyle w:val="KeinLeerraum"/>
              <w:rPr>
                <w:rFonts w:asciiTheme="minorHAnsi" w:hAnsiTheme="minorHAnsi" w:cstheme="minorHAnsi"/>
                <w:highlight w:val="green"/>
                <w:lang w:val="de-CH"/>
              </w:rPr>
            </w:pPr>
          </w:p>
          <w:p w:rsidR="00B56E1F" w:rsidRPr="00477502" w:rsidRDefault="00B56E1F" w:rsidP="00F507E9">
            <w:pPr>
              <w:pStyle w:val="KeinLeerraum"/>
              <w:rPr>
                <w:rFonts w:asciiTheme="minorHAnsi" w:hAnsiTheme="minorHAnsi" w:cstheme="minorHAnsi"/>
                <w:lang w:val="de-CH"/>
              </w:rPr>
            </w:pPr>
            <w:r w:rsidRPr="00477502">
              <w:rPr>
                <w:rFonts w:asciiTheme="minorHAnsi" w:hAnsiTheme="minorHAnsi" w:cstheme="minorHAnsi"/>
                <w:lang w:val="de-CH"/>
              </w:rPr>
              <w:t>2 Als Derivate gelten</w:t>
            </w:r>
            <w:r w:rsidRPr="00477502">
              <w:rPr>
                <w:rFonts w:asciiTheme="minorHAnsi" w:hAnsiTheme="minorHAnsi" w:cstheme="minorHAnsi"/>
                <w:b/>
                <w:lang w:val="de-CH"/>
              </w:rPr>
              <w:t xml:space="preserve"> auch</w:t>
            </w:r>
            <w:r w:rsidRPr="00477502">
              <w:rPr>
                <w:rFonts w:asciiTheme="minorHAnsi" w:hAnsiTheme="minorHAnsi" w:cstheme="minorHAnsi"/>
                <w:lang w:val="de-CH"/>
              </w:rPr>
              <w:t xml:space="preserve"> Finanzkontra</w:t>
            </w:r>
            <w:r w:rsidRPr="00477502">
              <w:rPr>
                <w:rFonts w:asciiTheme="minorHAnsi" w:hAnsiTheme="minorHAnsi" w:cstheme="minorHAnsi"/>
                <w:lang w:val="de-CH"/>
              </w:rPr>
              <w:t>k</w:t>
            </w:r>
            <w:r w:rsidRPr="00477502">
              <w:rPr>
                <w:rFonts w:asciiTheme="minorHAnsi" w:hAnsiTheme="minorHAnsi" w:cstheme="minorHAnsi"/>
                <w:lang w:val="de-CH"/>
              </w:rPr>
              <w:t>te, deren Preis abgeleitet wird von:</w:t>
            </w:r>
          </w:p>
          <w:p w:rsidR="00B56E1F" w:rsidRPr="00477502" w:rsidRDefault="00B56E1F" w:rsidP="00F507E9">
            <w:pPr>
              <w:pStyle w:val="KeinLeerraum"/>
              <w:rPr>
                <w:rFonts w:asciiTheme="minorHAnsi" w:hAnsiTheme="minorHAnsi" w:cstheme="minorHAnsi"/>
                <w:lang w:val="de-CH"/>
              </w:rPr>
            </w:pPr>
            <w:r w:rsidRPr="00477502">
              <w:rPr>
                <w:rFonts w:asciiTheme="minorHAnsi" w:hAnsiTheme="minorHAnsi" w:cstheme="minorHAnsi"/>
                <w:lang w:val="de-CH"/>
              </w:rPr>
              <w:t>a. Kassageschäfte</w:t>
            </w:r>
            <w:r w:rsidRPr="00477502">
              <w:rPr>
                <w:rFonts w:asciiTheme="minorHAnsi" w:hAnsiTheme="minorHAnsi" w:cstheme="minorHAnsi"/>
                <w:b/>
                <w:lang w:val="de-CH"/>
              </w:rPr>
              <w:t>n</w:t>
            </w:r>
            <w:r w:rsidRPr="00477502">
              <w:rPr>
                <w:rFonts w:asciiTheme="minorHAnsi" w:hAnsiTheme="minorHAnsi" w:cstheme="minorHAnsi"/>
                <w:lang w:val="de-CH"/>
              </w:rPr>
              <w:t>;</w:t>
            </w:r>
          </w:p>
          <w:p w:rsidR="00B56E1F" w:rsidRPr="00477502" w:rsidRDefault="00B56E1F" w:rsidP="00F507E9">
            <w:pPr>
              <w:pStyle w:val="KeinLeerraum"/>
              <w:rPr>
                <w:rFonts w:asciiTheme="minorHAnsi" w:hAnsiTheme="minorHAnsi" w:cstheme="minorHAnsi"/>
                <w:lang w:val="de-CH"/>
              </w:rPr>
            </w:pPr>
            <w:r w:rsidRPr="00477502">
              <w:rPr>
                <w:rFonts w:asciiTheme="minorHAnsi" w:hAnsiTheme="minorHAnsi" w:cstheme="minorHAnsi"/>
                <w:lang w:val="de-CH"/>
              </w:rPr>
              <w:t>b. Derivatgeschäfte</w:t>
            </w:r>
            <w:r w:rsidRPr="00477502">
              <w:rPr>
                <w:rFonts w:asciiTheme="minorHAnsi" w:hAnsiTheme="minorHAnsi" w:cstheme="minorHAnsi"/>
                <w:b/>
                <w:lang w:val="de-CH"/>
              </w:rPr>
              <w:t>n</w:t>
            </w:r>
            <w:r w:rsidRPr="00477502">
              <w:rPr>
                <w:rFonts w:asciiTheme="minorHAnsi" w:hAnsiTheme="minorHAnsi" w:cstheme="minorHAnsi"/>
                <w:lang w:val="de-CH"/>
              </w:rPr>
              <w:t xml:space="preserve"> …..</w:t>
            </w:r>
          </w:p>
          <w:p w:rsidR="00B56E1F" w:rsidRPr="00477502" w:rsidRDefault="00B56E1F" w:rsidP="00F507E9">
            <w:pPr>
              <w:pStyle w:val="KeinLeerraum"/>
              <w:rPr>
                <w:rFonts w:asciiTheme="minorHAnsi" w:hAnsiTheme="minorHAnsi" w:cstheme="minorHAnsi"/>
                <w:highlight w:val="green"/>
                <w:lang w:val="de-CH"/>
              </w:rPr>
            </w:pPr>
          </w:p>
        </w:tc>
        <w:tc>
          <w:tcPr>
            <w:tcW w:w="3827" w:type="dxa"/>
          </w:tcPr>
          <w:p w:rsidR="00B56E1F" w:rsidRPr="00477502" w:rsidRDefault="00B56E1F" w:rsidP="00F507E9">
            <w:pPr>
              <w:pStyle w:val="KeinLeerraum"/>
              <w:rPr>
                <w:rFonts w:asciiTheme="minorHAnsi" w:hAnsiTheme="minorHAnsi" w:cstheme="minorHAnsi"/>
                <w:lang w:val="de-CH"/>
              </w:rPr>
            </w:pPr>
          </w:p>
          <w:p w:rsidR="00B56E1F" w:rsidRPr="00477502" w:rsidRDefault="00B56E1F" w:rsidP="00F507E9">
            <w:pPr>
              <w:pStyle w:val="KeinLeerraum"/>
              <w:rPr>
                <w:rFonts w:asciiTheme="minorHAnsi" w:hAnsiTheme="minorHAnsi" w:cstheme="minorHAnsi"/>
                <w:lang w:val="de-CH"/>
              </w:rPr>
            </w:pPr>
            <w:r w:rsidRPr="00477502">
              <w:rPr>
                <w:rFonts w:asciiTheme="minorHAnsi" w:hAnsiTheme="minorHAnsi" w:cstheme="minorHAnsi"/>
                <w:lang w:val="de-CH"/>
              </w:rPr>
              <w:t>Das "auch" ist u.E. notwendig um kla</w:t>
            </w:r>
            <w:r w:rsidRPr="00477502">
              <w:rPr>
                <w:rFonts w:asciiTheme="minorHAnsi" w:hAnsiTheme="minorHAnsi" w:cstheme="minorHAnsi"/>
                <w:lang w:val="de-CH"/>
              </w:rPr>
              <w:t>r</w:t>
            </w:r>
            <w:r w:rsidRPr="00477502">
              <w:rPr>
                <w:rFonts w:asciiTheme="minorHAnsi" w:hAnsiTheme="minorHAnsi" w:cstheme="minorHAnsi"/>
                <w:lang w:val="de-CH"/>
              </w:rPr>
              <w:t>zustellen, dass Art. 2 Abs. 2 FinfraV lediglich eine Präzisierung der allgeme</w:t>
            </w:r>
            <w:r w:rsidRPr="00477502">
              <w:rPr>
                <w:rFonts w:asciiTheme="minorHAnsi" w:hAnsiTheme="minorHAnsi" w:cstheme="minorHAnsi"/>
                <w:lang w:val="de-CH"/>
              </w:rPr>
              <w:t>i</w:t>
            </w:r>
            <w:r w:rsidRPr="00477502">
              <w:rPr>
                <w:rFonts w:asciiTheme="minorHAnsi" w:hAnsiTheme="minorHAnsi" w:cstheme="minorHAnsi"/>
                <w:lang w:val="de-CH"/>
              </w:rPr>
              <w:t>nen Definition in Art. 2 lit. c FinfraG da</w:t>
            </w:r>
            <w:r w:rsidRPr="00477502">
              <w:rPr>
                <w:rFonts w:asciiTheme="minorHAnsi" w:hAnsiTheme="minorHAnsi" w:cstheme="minorHAnsi"/>
                <w:lang w:val="de-CH"/>
              </w:rPr>
              <w:t>r</w:t>
            </w:r>
            <w:r w:rsidRPr="00477502">
              <w:rPr>
                <w:rFonts w:asciiTheme="minorHAnsi" w:hAnsiTheme="minorHAnsi" w:cstheme="minorHAnsi"/>
                <w:lang w:val="de-CH"/>
              </w:rPr>
              <w:t xml:space="preserve">stellt. </w:t>
            </w:r>
          </w:p>
          <w:p w:rsidR="00B56E1F" w:rsidRPr="00477502" w:rsidRDefault="00B56E1F" w:rsidP="00E7264A">
            <w:pPr>
              <w:pStyle w:val="KeinLeerraum"/>
              <w:rPr>
                <w:rFonts w:asciiTheme="minorHAnsi" w:hAnsiTheme="minorHAnsi" w:cstheme="minorHAnsi"/>
                <w:lang w:val="de-CH"/>
              </w:rPr>
            </w:pPr>
          </w:p>
        </w:tc>
      </w:tr>
      <w:tr w:rsidR="00B56E1F" w:rsidRPr="00E7264A" w:rsidTr="0082313C">
        <w:tc>
          <w:tcPr>
            <w:tcW w:w="4673"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2. Titel: Finanzmarktinfrastrukturen</w:t>
            </w:r>
          </w:p>
        </w:tc>
        <w:tc>
          <w:tcPr>
            <w:tcW w:w="4111"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p>
        </w:tc>
        <w:tc>
          <w:tcPr>
            <w:tcW w:w="3827"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p>
        </w:tc>
      </w:tr>
      <w:tr w:rsidR="00B56E1F" w:rsidRPr="00E7264A" w:rsidTr="0082313C">
        <w:tc>
          <w:tcPr>
            <w:tcW w:w="4673"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1. Kapitel: Gemeinsame Bestimmungen</w:t>
            </w:r>
          </w:p>
        </w:tc>
        <w:tc>
          <w:tcPr>
            <w:tcW w:w="4111"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p>
        </w:tc>
        <w:tc>
          <w:tcPr>
            <w:tcW w:w="3827"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p>
        </w:tc>
      </w:tr>
      <w:tr w:rsidR="00B56E1F" w:rsidRPr="00282D7A" w:rsidTr="0082313C">
        <w:tc>
          <w:tcPr>
            <w:tcW w:w="4673"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1. Abschnitt:</w:t>
            </w:r>
          </w:p>
          <w:p w:rsidR="00B56E1F" w:rsidRPr="00477502" w:rsidRDefault="00B56E1F" w:rsidP="00E7264A">
            <w:pPr>
              <w:pStyle w:val="KeinLeerraum"/>
              <w:rPr>
                <w:rFonts w:asciiTheme="minorHAnsi" w:hAnsiTheme="minorHAnsi" w:cstheme="minorHAnsi"/>
                <w:lang w:val="de-CH"/>
              </w:rPr>
            </w:pPr>
            <w:r w:rsidRPr="00477502">
              <w:rPr>
                <w:rFonts w:asciiTheme="minorHAnsi" w:hAnsiTheme="minorHAnsi" w:cstheme="minorHAnsi"/>
                <w:lang w:val="de-CH"/>
              </w:rPr>
              <w:t>Bewilligungsvoraussetzungen und Pflichten für alle Finanzmarktinfrastrukturen</w:t>
            </w:r>
          </w:p>
        </w:tc>
        <w:tc>
          <w:tcPr>
            <w:tcW w:w="4111"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p>
        </w:tc>
        <w:tc>
          <w:tcPr>
            <w:tcW w:w="3827" w:type="dxa"/>
            <w:shd w:val="clear" w:color="auto" w:fill="D9D9D9" w:themeFill="background2" w:themeFillShade="D9"/>
          </w:tcPr>
          <w:p w:rsidR="00B56E1F" w:rsidRPr="00477502" w:rsidRDefault="00B56E1F" w:rsidP="00E7264A">
            <w:pPr>
              <w:pStyle w:val="KeinLeerraum"/>
              <w:rPr>
                <w:rFonts w:asciiTheme="minorHAnsi" w:hAnsiTheme="minorHAnsi" w:cstheme="minorHAnsi"/>
                <w:lang w:val="de-CH"/>
              </w:rPr>
            </w:pPr>
          </w:p>
        </w:tc>
      </w:tr>
      <w:tr w:rsidR="00B56E1F" w:rsidRPr="00282D7A" w:rsidTr="0082313C">
        <w:tc>
          <w:tcPr>
            <w:tcW w:w="4673" w:type="dxa"/>
            <w:shd w:val="clear" w:color="auto" w:fill="D9D9D9" w:themeFill="background2" w:themeFillShade="D9"/>
          </w:tcPr>
          <w:p w:rsidR="00B56E1F" w:rsidRPr="00477502" w:rsidRDefault="00B56E1F" w:rsidP="00D83348">
            <w:pPr>
              <w:pStyle w:val="KeinLeerraum"/>
              <w:rPr>
                <w:rFonts w:asciiTheme="minorHAnsi" w:hAnsiTheme="minorHAnsi" w:cstheme="minorHAnsi"/>
                <w:lang w:val="de-CH"/>
              </w:rPr>
            </w:pPr>
            <w:r w:rsidRPr="00477502">
              <w:rPr>
                <w:rFonts w:asciiTheme="minorHAnsi" w:hAnsiTheme="minorHAnsi" w:cstheme="minorHAnsi"/>
                <w:lang w:val="de-CH"/>
              </w:rPr>
              <w:t>Art. 6 Geschäftsbereich</w:t>
            </w:r>
          </w:p>
          <w:p w:rsidR="00B56E1F" w:rsidRPr="00477502" w:rsidRDefault="00B56E1F" w:rsidP="00D83348">
            <w:pPr>
              <w:pStyle w:val="KeinLeerraum"/>
              <w:rPr>
                <w:rFonts w:asciiTheme="minorHAnsi" w:hAnsiTheme="minorHAnsi" w:cstheme="minorHAnsi"/>
                <w:lang w:val="de-CH"/>
              </w:rPr>
            </w:pPr>
            <w:r w:rsidRPr="00477502">
              <w:rPr>
                <w:rFonts w:asciiTheme="minorHAnsi" w:hAnsiTheme="minorHAnsi" w:cstheme="minorHAnsi"/>
                <w:lang w:val="de-CH"/>
              </w:rPr>
              <w:t>(Art. 8 Abs. 2 FinfraG)</w:t>
            </w:r>
          </w:p>
        </w:tc>
        <w:tc>
          <w:tcPr>
            <w:tcW w:w="4111" w:type="dxa"/>
            <w:shd w:val="clear" w:color="auto" w:fill="D9D9D9" w:themeFill="background2" w:themeFillShade="D9"/>
          </w:tcPr>
          <w:p w:rsidR="00B56E1F" w:rsidRPr="00477502" w:rsidRDefault="00B56E1F" w:rsidP="00D83348">
            <w:pPr>
              <w:pStyle w:val="KeinLeerraum"/>
              <w:rPr>
                <w:rFonts w:asciiTheme="minorHAnsi" w:hAnsiTheme="minorHAnsi" w:cstheme="minorHAnsi"/>
                <w:lang w:val="de-CH"/>
              </w:rPr>
            </w:pPr>
          </w:p>
        </w:tc>
        <w:tc>
          <w:tcPr>
            <w:tcW w:w="3827" w:type="dxa"/>
            <w:shd w:val="clear" w:color="auto" w:fill="D9D9D9" w:themeFill="background2" w:themeFillShade="D9"/>
          </w:tcPr>
          <w:p w:rsidR="00B56E1F" w:rsidRPr="00477502" w:rsidRDefault="00B56E1F" w:rsidP="00D83348">
            <w:pPr>
              <w:pStyle w:val="KeinLeerraum"/>
              <w:rPr>
                <w:rFonts w:asciiTheme="minorHAnsi" w:hAnsiTheme="minorHAnsi" w:cstheme="minorHAnsi"/>
                <w:lang w:val="de-CH"/>
              </w:rPr>
            </w:pPr>
          </w:p>
        </w:tc>
      </w:tr>
      <w:tr w:rsidR="00B56E1F" w:rsidRPr="00282D7A" w:rsidTr="0082313C">
        <w:tc>
          <w:tcPr>
            <w:tcW w:w="4673" w:type="dxa"/>
          </w:tcPr>
          <w:p w:rsidR="00B56E1F" w:rsidRPr="00477502" w:rsidRDefault="00B56E1F" w:rsidP="00EF6D07">
            <w:pPr>
              <w:pStyle w:val="KeinLeerraum"/>
              <w:rPr>
                <w:rFonts w:asciiTheme="minorHAnsi" w:hAnsiTheme="minorHAnsi" w:cstheme="minorHAnsi"/>
                <w:lang w:val="de-CH"/>
              </w:rPr>
            </w:pPr>
            <w:r w:rsidRPr="00477502">
              <w:rPr>
                <w:rFonts w:asciiTheme="minorHAnsi" w:hAnsiTheme="minorHAnsi" w:cstheme="minorHAnsi"/>
                <w:lang w:val="de-CH"/>
              </w:rPr>
              <w:t>1</w:t>
            </w:r>
            <w:r w:rsidR="00774432" w:rsidRPr="00477502">
              <w:rPr>
                <w:rFonts w:asciiTheme="minorHAnsi" w:hAnsiTheme="minorHAnsi" w:cstheme="minorHAnsi"/>
                <w:lang w:val="de-CH"/>
              </w:rPr>
              <w:t xml:space="preserve"> …..</w:t>
            </w:r>
          </w:p>
          <w:p w:rsidR="00B56E1F" w:rsidRPr="00477502" w:rsidRDefault="00B56E1F" w:rsidP="00EF6D07">
            <w:pPr>
              <w:pStyle w:val="KeinLeerraum"/>
              <w:rPr>
                <w:rFonts w:asciiTheme="minorHAnsi" w:hAnsiTheme="minorHAnsi" w:cstheme="minorHAnsi"/>
                <w:lang w:val="de-CH"/>
              </w:rPr>
            </w:pPr>
            <w:r w:rsidRPr="00477502">
              <w:rPr>
                <w:rFonts w:asciiTheme="minorHAnsi" w:hAnsiTheme="minorHAnsi" w:cstheme="minorHAnsi"/>
                <w:lang w:val="de-CH"/>
              </w:rPr>
              <w:t>2 Der Geschäftsbereich und dessen geografische Ausdehnung müssen den finanziellen Möglichke</w:t>
            </w:r>
            <w:r w:rsidRPr="00477502">
              <w:rPr>
                <w:rFonts w:asciiTheme="minorHAnsi" w:hAnsiTheme="minorHAnsi" w:cstheme="minorHAnsi"/>
                <w:lang w:val="de-CH"/>
              </w:rPr>
              <w:t>i</w:t>
            </w:r>
            <w:r w:rsidRPr="00477502">
              <w:rPr>
                <w:rFonts w:asciiTheme="minorHAnsi" w:hAnsiTheme="minorHAnsi" w:cstheme="minorHAnsi"/>
                <w:lang w:val="de-CH"/>
              </w:rPr>
              <w:t>ten sowie der Verwaltungsorganisation entspr</w:t>
            </w:r>
            <w:r w:rsidRPr="00477502">
              <w:rPr>
                <w:rFonts w:asciiTheme="minorHAnsi" w:hAnsiTheme="minorHAnsi" w:cstheme="minorHAnsi"/>
                <w:lang w:val="de-CH"/>
              </w:rPr>
              <w:t>e</w:t>
            </w:r>
            <w:r w:rsidRPr="00477502">
              <w:rPr>
                <w:rFonts w:asciiTheme="minorHAnsi" w:hAnsiTheme="minorHAnsi" w:cstheme="minorHAnsi"/>
                <w:lang w:val="de-CH"/>
              </w:rPr>
              <w:t>chen.</w:t>
            </w:r>
          </w:p>
        </w:tc>
        <w:tc>
          <w:tcPr>
            <w:tcW w:w="4111" w:type="dxa"/>
            <w:shd w:val="clear" w:color="auto" w:fill="auto"/>
          </w:tcPr>
          <w:p w:rsidR="0054000D" w:rsidRPr="00477502" w:rsidRDefault="0054000D" w:rsidP="00B56E1F">
            <w:pPr>
              <w:pStyle w:val="KeinLeerraum"/>
              <w:rPr>
                <w:rFonts w:asciiTheme="minorHAnsi" w:hAnsiTheme="minorHAnsi" w:cstheme="minorHAnsi"/>
                <w:lang w:val="de-CH"/>
              </w:rPr>
            </w:pPr>
          </w:p>
          <w:p w:rsidR="00B56E1F" w:rsidRPr="00477502" w:rsidRDefault="0054000D" w:rsidP="00B56E1F">
            <w:pPr>
              <w:pStyle w:val="KeinLeerraum"/>
              <w:rPr>
                <w:rFonts w:asciiTheme="minorHAnsi" w:hAnsiTheme="minorHAnsi" w:cstheme="minorHAnsi"/>
                <w:highlight w:val="green"/>
                <w:lang w:val="de-CH"/>
              </w:rPr>
            </w:pPr>
            <w:r w:rsidRPr="00477502">
              <w:rPr>
                <w:rFonts w:asciiTheme="minorHAnsi" w:hAnsiTheme="minorHAnsi" w:cstheme="minorHAnsi"/>
                <w:lang w:val="de-CH"/>
              </w:rPr>
              <w:t>2 Der Geschäftsbereich und dessen ge</w:t>
            </w:r>
            <w:r w:rsidRPr="00477502">
              <w:rPr>
                <w:rFonts w:asciiTheme="minorHAnsi" w:hAnsiTheme="minorHAnsi" w:cstheme="minorHAnsi"/>
                <w:lang w:val="de-CH"/>
              </w:rPr>
              <w:t>o</w:t>
            </w:r>
            <w:r w:rsidRPr="00477502">
              <w:rPr>
                <w:rFonts w:asciiTheme="minorHAnsi" w:hAnsiTheme="minorHAnsi" w:cstheme="minorHAnsi"/>
                <w:lang w:val="de-CH"/>
              </w:rPr>
              <w:t>grafische Ausdehnung müssen den finanz</w:t>
            </w:r>
            <w:r w:rsidRPr="00477502">
              <w:rPr>
                <w:rFonts w:asciiTheme="minorHAnsi" w:hAnsiTheme="minorHAnsi" w:cstheme="minorHAnsi"/>
                <w:lang w:val="de-CH"/>
              </w:rPr>
              <w:t>i</w:t>
            </w:r>
            <w:r w:rsidRPr="00477502">
              <w:rPr>
                <w:rFonts w:asciiTheme="minorHAnsi" w:hAnsiTheme="minorHAnsi" w:cstheme="minorHAnsi"/>
                <w:lang w:val="de-CH"/>
              </w:rPr>
              <w:t xml:space="preserve">ellen </w:t>
            </w:r>
            <w:r w:rsidRPr="00477502">
              <w:rPr>
                <w:rFonts w:asciiTheme="minorHAnsi" w:hAnsiTheme="minorHAnsi" w:cstheme="minorHAnsi"/>
                <w:b/>
                <w:lang w:val="de-CH"/>
              </w:rPr>
              <w:t>Mitteln</w:t>
            </w:r>
            <w:r w:rsidRPr="00477502">
              <w:rPr>
                <w:rFonts w:asciiTheme="minorHAnsi" w:hAnsiTheme="minorHAnsi" w:cstheme="minorHAnsi"/>
                <w:lang w:val="de-CH"/>
              </w:rPr>
              <w:t xml:space="preserve"> sowie der Verwaltungsorgan</w:t>
            </w:r>
            <w:r w:rsidRPr="00477502">
              <w:rPr>
                <w:rFonts w:asciiTheme="minorHAnsi" w:hAnsiTheme="minorHAnsi" w:cstheme="minorHAnsi"/>
                <w:lang w:val="de-CH"/>
              </w:rPr>
              <w:t>i</w:t>
            </w:r>
            <w:r w:rsidRPr="00477502">
              <w:rPr>
                <w:rFonts w:asciiTheme="minorHAnsi" w:hAnsiTheme="minorHAnsi" w:cstheme="minorHAnsi"/>
                <w:lang w:val="de-CH"/>
              </w:rPr>
              <w:t>sation entsprechen.</w:t>
            </w:r>
          </w:p>
        </w:tc>
        <w:tc>
          <w:tcPr>
            <w:tcW w:w="3827" w:type="dxa"/>
          </w:tcPr>
          <w:p w:rsidR="0054000D" w:rsidRPr="00477502" w:rsidRDefault="0054000D" w:rsidP="00EF6D07">
            <w:pPr>
              <w:pStyle w:val="KeinLeerraum"/>
              <w:rPr>
                <w:rFonts w:asciiTheme="minorHAnsi" w:hAnsiTheme="minorHAnsi" w:cstheme="minorHAnsi"/>
                <w:lang w:val="de-CH"/>
              </w:rPr>
            </w:pPr>
          </w:p>
          <w:p w:rsidR="00B56E1F" w:rsidRPr="00477502" w:rsidRDefault="00B56E1F" w:rsidP="00EF6D07">
            <w:pPr>
              <w:pStyle w:val="KeinLeerraum"/>
              <w:rPr>
                <w:rFonts w:asciiTheme="minorHAnsi" w:hAnsiTheme="minorHAnsi" w:cstheme="minorHAnsi"/>
                <w:lang w:val="de-CH"/>
              </w:rPr>
            </w:pPr>
            <w:r w:rsidRPr="00477502">
              <w:rPr>
                <w:rFonts w:asciiTheme="minorHAnsi" w:hAnsiTheme="minorHAnsi" w:cstheme="minorHAnsi"/>
                <w:lang w:val="de-CH"/>
              </w:rPr>
              <w:t xml:space="preserve">Wir empfehlen analog zu Art. 18 BEHV von finanziellen Mitteln zu sprechen. </w:t>
            </w:r>
          </w:p>
        </w:tc>
      </w:tr>
      <w:tr w:rsidR="00B56E1F" w:rsidRPr="00282D7A" w:rsidTr="0082313C">
        <w:tc>
          <w:tcPr>
            <w:tcW w:w="4673" w:type="dxa"/>
            <w:shd w:val="clear" w:color="auto" w:fill="D9D9D9" w:themeFill="background2" w:themeFillShade="D9"/>
          </w:tcPr>
          <w:p w:rsidR="00B56E1F" w:rsidRPr="00477502" w:rsidRDefault="00B56E1F" w:rsidP="00EF6D07">
            <w:pPr>
              <w:pStyle w:val="KeinLeerraum"/>
              <w:rPr>
                <w:rFonts w:asciiTheme="minorHAnsi" w:hAnsiTheme="minorHAnsi" w:cstheme="minorHAnsi"/>
                <w:lang w:val="de-CH"/>
              </w:rPr>
            </w:pPr>
            <w:r w:rsidRPr="00477502">
              <w:rPr>
                <w:rFonts w:asciiTheme="minorHAnsi" w:hAnsiTheme="minorHAnsi" w:cstheme="minorHAnsi"/>
                <w:lang w:val="de-CH"/>
              </w:rPr>
              <w:t>Art. 17 Diskriminierungsfreier und offener Zugang</w:t>
            </w:r>
          </w:p>
          <w:p w:rsidR="00B56E1F" w:rsidRPr="00477502" w:rsidRDefault="00B56E1F" w:rsidP="00EF6D07">
            <w:pPr>
              <w:pStyle w:val="KeinLeerraum"/>
              <w:rPr>
                <w:rFonts w:asciiTheme="minorHAnsi" w:hAnsiTheme="minorHAnsi" w:cstheme="minorHAnsi"/>
                <w:lang w:val="de-CH"/>
              </w:rPr>
            </w:pPr>
            <w:r w:rsidRPr="00477502">
              <w:rPr>
                <w:rFonts w:asciiTheme="minorHAnsi" w:hAnsiTheme="minorHAnsi" w:cstheme="minorHAnsi"/>
                <w:lang w:val="de-CH"/>
              </w:rPr>
              <w:t>(Art. 18 FinfraG)</w:t>
            </w:r>
          </w:p>
        </w:tc>
        <w:tc>
          <w:tcPr>
            <w:tcW w:w="4111" w:type="dxa"/>
            <w:shd w:val="clear" w:color="auto" w:fill="D9D9D9" w:themeFill="background2" w:themeFillShade="D9"/>
          </w:tcPr>
          <w:p w:rsidR="00B56E1F" w:rsidRPr="00477502" w:rsidRDefault="00B56E1F" w:rsidP="00EF6D07">
            <w:pPr>
              <w:pStyle w:val="KeinLeerraum"/>
              <w:rPr>
                <w:rFonts w:asciiTheme="minorHAnsi" w:hAnsiTheme="minorHAnsi" w:cstheme="minorHAnsi"/>
                <w:lang w:val="de-CH"/>
              </w:rPr>
            </w:pPr>
          </w:p>
        </w:tc>
        <w:tc>
          <w:tcPr>
            <w:tcW w:w="3827" w:type="dxa"/>
            <w:shd w:val="clear" w:color="auto" w:fill="D9D9D9" w:themeFill="background2" w:themeFillShade="D9"/>
          </w:tcPr>
          <w:p w:rsidR="00B56E1F" w:rsidRPr="00477502" w:rsidRDefault="00B56E1F" w:rsidP="00EF6D07">
            <w:pPr>
              <w:pStyle w:val="KeinLeerraum"/>
              <w:rPr>
                <w:rFonts w:asciiTheme="minorHAnsi" w:hAnsiTheme="minorHAnsi" w:cstheme="minorHAnsi"/>
                <w:lang w:val="de-CH"/>
              </w:rPr>
            </w:pPr>
          </w:p>
        </w:tc>
      </w:tr>
      <w:tr w:rsidR="00343817" w:rsidRPr="0070034B"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Ein diskriminierungsfreier Zugang ist insbeso</w:t>
            </w:r>
            <w:r w:rsidRPr="00477502">
              <w:rPr>
                <w:rFonts w:asciiTheme="minorHAnsi" w:hAnsiTheme="minorHAnsi" w:cstheme="minorHAnsi"/>
                <w:lang w:val="de-CH"/>
              </w:rPr>
              <w:t>n</w:t>
            </w:r>
            <w:r w:rsidRPr="00477502">
              <w:rPr>
                <w:rFonts w:asciiTheme="minorHAnsi" w:hAnsiTheme="minorHAnsi" w:cstheme="minorHAnsi"/>
                <w:lang w:val="de-CH"/>
              </w:rPr>
              <w:t>dere dann nicht gewährleistet, wenn zu hohe oder sachlich nicht gerechtfertigte Anforderungen oder überhöhte Preise für die Nutzung der angebot</w:t>
            </w:r>
            <w:r w:rsidRPr="00477502">
              <w:rPr>
                <w:rFonts w:asciiTheme="minorHAnsi" w:hAnsiTheme="minorHAnsi" w:cstheme="minorHAnsi"/>
                <w:lang w:val="de-CH"/>
              </w:rPr>
              <w:t>e</w:t>
            </w:r>
            <w:r w:rsidRPr="00477502">
              <w:rPr>
                <w:rFonts w:asciiTheme="minorHAnsi" w:hAnsiTheme="minorHAnsi" w:cstheme="minorHAnsi"/>
                <w:lang w:val="de-CH"/>
              </w:rPr>
              <w:t>nen Dienstleistungen verlangt werden. Gebühre</w:t>
            </w:r>
            <w:r w:rsidRPr="00477502">
              <w:rPr>
                <w:rFonts w:asciiTheme="minorHAnsi" w:hAnsiTheme="minorHAnsi" w:cstheme="minorHAnsi"/>
                <w:lang w:val="de-CH"/>
              </w:rPr>
              <w:t>n</w:t>
            </w:r>
            <w:r w:rsidRPr="00477502">
              <w:rPr>
                <w:rFonts w:asciiTheme="minorHAnsi" w:hAnsiTheme="minorHAnsi" w:cstheme="minorHAnsi"/>
                <w:lang w:val="de-CH"/>
              </w:rPr>
              <w:t>strukturen dürfen keine Marktstörungen begünst</w:t>
            </w:r>
            <w:r w:rsidRPr="00477502">
              <w:rPr>
                <w:rFonts w:asciiTheme="minorHAnsi" w:hAnsiTheme="minorHAnsi" w:cstheme="minorHAnsi"/>
                <w:lang w:val="de-CH"/>
              </w:rPr>
              <w:t>i</w:t>
            </w:r>
            <w:r w:rsidRPr="00477502">
              <w:rPr>
                <w:rFonts w:asciiTheme="minorHAnsi" w:hAnsiTheme="minorHAnsi" w:cstheme="minorHAnsi"/>
                <w:lang w:val="de-CH"/>
              </w:rPr>
              <w:t>gen.</w:t>
            </w:r>
          </w:p>
          <w:p w:rsidR="00343817" w:rsidRPr="00477502" w:rsidRDefault="00343817" w:rsidP="00343817">
            <w:pPr>
              <w:pStyle w:val="KeinLeerraum"/>
              <w:rPr>
                <w:rFonts w:asciiTheme="minorHAnsi" w:hAnsiTheme="minorHAnsi" w:cstheme="minorHAnsi"/>
                <w:highlight w:val="green"/>
                <w:lang w:val="de-CH"/>
              </w:rPr>
            </w:pP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Ein diskriminierungsfreier Zugang ist in</w:t>
            </w:r>
            <w:r w:rsidRPr="00477502">
              <w:rPr>
                <w:rFonts w:asciiTheme="minorHAnsi" w:hAnsiTheme="minorHAnsi" w:cstheme="minorHAnsi"/>
                <w:lang w:val="de-CH"/>
              </w:rPr>
              <w:t>s</w:t>
            </w:r>
            <w:r w:rsidRPr="00477502">
              <w:rPr>
                <w:rFonts w:asciiTheme="minorHAnsi" w:hAnsiTheme="minorHAnsi" w:cstheme="minorHAnsi"/>
                <w:lang w:val="de-CH"/>
              </w:rPr>
              <w:t xml:space="preserve">besondere dann nicht gewährleistet, wenn zu hohe oder sachlich nicht gerechtfertigte Anforderungen </w:t>
            </w:r>
            <w:r w:rsidRPr="00477502">
              <w:rPr>
                <w:rFonts w:asciiTheme="minorHAnsi" w:hAnsiTheme="minorHAnsi" w:cstheme="minorHAnsi"/>
                <w:b/>
                <w:strike/>
                <w:lang w:val="de-CH"/>
              </w:rPr>
              <w:t xml:space="preserve">oder überhöhte Preise </w:t>
            </w:r>
            <w:r w:rsidRPr="00477502">
              <w:rPr>
                <w:rFonts w:asciiTheme="minorHAnsi" w:hAnsiTheme="minorHAnsi" w:cstheme="minorHAnsi"/>
                <w:lang w:val="de-CH"/>
              </w:rPr>
              <w:t>für die Nutzung der angebotenen Dienstlei</w:t>
            </w:r>
            <w:r w:rsidRPr="00477502">
              <w:rPr>
                <w:rFonts w:asciiTheme="minorHAnsi" w:hAnsiTheme="minorHAnsi" w:cstheme="minorHAnsi"/>
                <w:lang w:val="de-CH"/>
              </w:rPr>
              <w:t>s</w:t>
            </w:r>
            <w:r w:rsidRPr="00477502">
              <w:rPr>
                <w:rFonts w:asciiTheme="minorHAnsi" w:hAnsiTheme="minorHAnsi" w:cstheme="minorHAnsi"/>
                <w:lang w:val="de-CH"/>
              </w:rPr>
              <w:t>tungen verlangt werden. Gebührenstrukt</w:t>
            </w:r>
            <w:r w:rsidRPr="00477502">
              <w:rPr>
                <w:rFonts w:asciiTheme="minorHAnsi" w:hAnsiTheme="minorHAnsi" w:cstheme="minorHAnsi"/>
                <w:lang w:val="de-CH"/>
              </w:rPr>
              <w:t>u</w:t>
            </w:r>
            <w:r w:rsidRPr="00477502">
              <w:rPr>
                <w:rFonts w:asciiTheme="minorHAnsi" w:hAnsiTheme="minorHAnsi" w:cstheme="minorHAnsi"/>
                <w:lang w:val="de-CH"/>
              </w:rPr>
              <w:t>ren dürfen keine Marktstörungen begünst</w:t>
            </w:r>
            <w:r w:rsidRPr="00477502">
              <w:rPr>
                <w:rFonts w:asciiTheme="minorHAnsi" w:hAnsiTheme="minorHAnsi" w:cstheme="minorHAnsi"/>
                <w:lang w:val="de-CH"/>
              </w:rPr>
              <w:t>i</w:t>
            </w:r>
            <w:r w:rsidRPr="00477502">
              <w:rPr>
                <w:rFonts w:asciiTheme="minorHAnsi" w:hAnsiTheme="minorHAnsi" w:cstheme="minorHAnsi"/>
                <w:lang w:val="de-CH"/>
              </w:rPr>
              <w:t>gen.</w:t>
            </w:r>
          </w:p>
          <w:p w:rsidR="00343817" w:rsidRPr="00477502" w:rsidRDefault="00343817" w:rsidP="00343817">
            <w:pPr>
              <w:pStyle w:val="KeinLeerraum"/>
              <w:rPr>
                <w:rFonts w:asciiTheme="minorHAnsi" w:hAnsiTheme="minorHAnsi" w:cstheme="minorHAnsi"/>
                <w:highlight w:val="green"/>
                <w:lang w:val="de-CH"/>
              </w:rPr>
            </w:pPr>
          </w:p>
        </w:tc>
        <w:tc>
          <w:tcPr>
            <w:tcW w:w="3827"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Wann "überhöhte Preise" vorliegen, ist per se eine Wertungsfrage und immer von den konkreten Umständen ab</w:t>
            </w:r>
            <w:r w:rsidR="001E7D9A">
              <w:rPr>
                <w:rFonts w:asciiTheme="minorHAnsi" w:hAnsiTheme="minorHAnsi" w:cstheme="minorHAnsi"/>
                <w:lang w:val="de-CH"/>
              </w:rPr>
              <w:t>-</w:t>
            </w:r>
            <w:r w:rsidRPr="00477502">
              <w:rPr>
                <w:rFonts w:asciiTheme="minorHAnsi" w:hAnsiTheme="minorHAnsi" w:cstheme="minorHAnsi"/>
                <w:lang w:val="de-CH"/>
              </w:rPr>
              <w:t>hängig. Ferner deckt u.E. der Satzteil ("Gebührenstrukturen dürfen keine Marktstörungen begünstigen") die Unz</w:t>
            </w:r>
            <w:r w:rsidRPr="00477502">
              <w:rPr>
                <w:rFonts w:asciiTheme="minorHAnsi" w:hAnsiTheme="minorHAnsi" w:cstheme="minorHAnsi"/>
                <w:lang w:val="de-CH"/>
              </w:rPr>
              <w:t>u</w:t>
            </w:r>
            <w:r w:rsidRPr="00477502">
              <w:rPr>
                <w:rFonts w:asciiTheme="minorHAnsi" w:hAnsiTheme="minorHAnsi" w:cstheme="minorHAnsi"/>
                <w:lang w:val="de-CH"/>
              </w:rPr>
              <w:t>lässigkeit "überhöhter Preise" ab. Wir empfehlen "oder überhöhte Preise" e</w:t>
            </w:r>
            <w:r w:rsidRPr="00477502">
              <w:rPr>
                <w:rFonts w:asciiTheme="minorHAnsi" w:hAnsiTheme="minorHAnsi" w:cstheme="minorHAnsi"/>
                <w:lang w:val="de-CH"/>
              </w:rPr>
              <w:t>r</w:t>
            </w:r>
            <w:r w:rsidRPr="00477502">
              <w:rPr>
                <w:rFonts w:asciiTheme="minorHAnsi" w:hAnsiTheme="minorHAnsi" w:cstheme="minorHAnsi"/>
                <w:lang w:val="de-CH"/>
              </w:rPr>
              <w:t>satzlos zu streichen.</w:t>
            </w:r>
          </w:p>
        </w:tc>
      </w:tr>
    </w:tbl>
    <w:p w:rsidR="00282D7A" w:rsidRDefault="00282D7A">
      <w:r>
        <w:br w:type="page"/>
      </w:r>
    </w:p>
    <w:tbl>
      <w:tblPr>
        <w:tblStyle w:val="Tabellenraster"/>
        <w:tblW w:w="0" w:type="auto"/>
        <w:tblLook w:val="04A0" w:firstRow="1" w:lastRow="0" w:firstColumn="1" w:lastColumn="0" w:noHBand="0" w:noVBand="1"/>
      </w:tblPr>
      <w:tblGrid>
        <w:gridCol w:w="4673"/>
        <w:gridCol w:w="4111"/>
        <w:gridCol w:w="3827"/>
      </w:tblGrid>
      <w:tr w:rsidR="00343817" w:rsidRPr="00282D7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lastRenderedPageBreak/>
              <w:t>2. Kapitel: Handelsplätze und organisierte Ha</w:t>
            </w:r>
            <w:r w:rsidRPr="00477502">
              <w:rPr>
                <w:rFonts w:asciiTheme="minorHAnsi" w:hAnsiTheme="minorHAnsi" w:cstheme="minorHAnsi"/>
                <w:lang w:val="de-CH"/>
              </w:rPr>
              <w:t>n</w:t>
            </w:r>
            <w:r w:rsidRPr="00477502">
              <w:rPr>
                <w:rFonts w:asciiTheme="minorHAnsi" w:hAnsiTheme="minorHAnsi" w:cstheme="minorHAnsi"/>
                <w:lang w:val="de-CH"/>
              </w:rPr>
              <w:t>delssysteme</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Abschnitt: Handelsplätze</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37 Meldepflicht der Teilnehmer</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39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70034B"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Die an einem Handelsplatz zugelassenen Tei</w:t>
            </w:r>
            <w:r w:rsidRPr="00477502">
              <w:rPr>
                <w:rFonts w:asciiTheme="minorHAnsi" w:hAnsiTheme="minorHAnsi" w:cstheme="minorHAnsi"/>
                <w:lang w:val="de-CH"/>
              </w:rPr>
              <w:t>l</w:t>
            </w:r>
            <w:r w:rsidRPr="00477502">
              <w:rPr>
                <w:rFonts w:asciiTheme="minorHAnsi" w:hAnsiTheme="minorHAnsi" w:cstheme="minorHAnsi"/>
                <w:lang w:val="de-CH"/>
              </w:rPr>
              <w:t>nehmern haben insbesondere zu melden: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 </w:t>
            </w:r>
          </w:p>
          <w:p w:rsidR="00343817" w:rsidRPr="00477502" w:rsidRDefault="00343817" w:rsidP="00343817">
            <w:pPr>
              <w:pStyle w:val="KeinLeerraum"/>
              <w:rPr>
                <w:rFonts w:asciiTheme="minorHAnsi" w:hAnsiTheme="minorHAnsi" w:cstheme="minorHAnsi"/>
                <w:lang w:val="de-CH"/>
              </w:rPr>
            </w:pP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1 Die an einem Handelsplatz zugelassenen </w:t>
            </w:r>
            <w:r w:rsidRPr="00477502">
              <w:rPr>
                <w:rFonts w:asciiTheme="minorHAnsi" w:hAnsiTheme="minorHAnsi" w:cstheme="minorHAnsi"/>
                <w:b/>
                <w:lang w:val="de-CH"/>
              </w:rPr>
              <w:t>Teilnehmer</w:t>
            </w:r>
            <w:r w:rsidRPr="00477502">
              <w:rPr>
                <w:rFonts w:asciiTheme="minorHAnsi" w:hAnsiTheme="minorHAnsi" w:cstheme="minorHAnsi"/>
                <w:lang w:val="de-CH"/>
              </w:rPr>
              <w:t xml:space="preserve"> haben insbesondere zu me</w:t>
            </w:r>
            <w:r w:rsidRPr="00477502">
              <w:rPr>
                <w:rFonts w:asciiTheme="minorHAnsi" w:hAnsiTheme="minorHAnsi" w:cstheme="minorHAnsi"/>
                <w:lang w:val="de-CH"/>
              </w:rPr>
              <w:t>l</w:t>
            </w:r>
            <w:r w:rsidRPr="00477502">
              <w:rPr>
                <w:rFonts w:asciiTheme="minorHAnsi" w:hAnsiTheme="minorHAnsi" w:cstheme="minorHAnsi"/>
                <w:lang w:val="de-CH"/>
              </w:rPr>
              <w:t>den: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w:t>
            </w:r>
          </w:p>
          <w:p w:rsidR="00343817" w:rsidRPr="00477502" w:rsidRDefault="00343817" w:rsidP="00343817">
            <w:pPr>
              <w:pStyle w:val="KeinLeerraum"/>
              <w:rPr>
                <w:rFonts w:asciiTheme="minorHAnsi" w:hAnsiTheme="minorHAnsi" w:cstheme="minorHAnsi"/>
                <w:highlight w:val="green"/>
                <w:lang w:val="de-CH"/>
              </w:rPr>
            </w:pPr>
          </w:p>
        </w:tc>
        <w:tc>
          <w:tcPr>
            <w:tcW w:w="3827"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Typo</w:t>
            </w:r>
          </w:p>
        </w:tc>
      </w:tr>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Abschnitt: Organisierte Handelssysteme</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38 Bewilligungs- und Anerkennungsvorau</w:t>
            </w:r>
            <w:r w:rsidRPr="00477502">
              <w:rPr>
                <w:rFonts w:asciiTheme="minorHAnsi" w:hAnsiTheme="minorHAnsi" w:cstheme="minorHAnsi"/>
                <w:lang w:val="de-CH"/>
              </w:rPr>
              <w:t>s</w:t>
            </w:r>
            <w:r w:rsidRPr="00477502">
              <w:rPr>
                <w:rFonts w:asciiTheme="minorHAnsi" w:hAnsiTheme="minorHAnsi" w:cstheme="minorHAnsi"/>
                <w:lang w:val="de-CH"/>
              </w:rPr>
              <w:t>setzungen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43 Abs. 1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Die Bewilligungs- und Anerkennungsvorausse</w:t>
            </w:r>
            <w:r w:rsidRPr="00477502">
              <w:rPr>
                <w:rFonts w:asciiTheme="minorHAnsi" w:hAnsiTheme="minorHAnsi" w:cstheme="minorHAnsi"/>
                <w:lang w:val="de-CH"/>
              </w:rPr>
              <w:t>t</w:t>
            </w:r>
            <w:r w:rsidRPr="00477502">
              <w:rPr>
                <w:rFonts w:asciiTheme="minorHAnsi" w:hAnsiTheme="minorHAnsi" w:cstheme="minorHAnsi"/>
                <w:lang w:val="de-CH"/>
              </w:rPr>
              <w:t>zungen für den Betreiber eines organisierten Handelssystems richten sich nach den Finan</w:t>
            </w:r>
            <w:r w:rsidRPr="00477502">
              <w:rPr>
                <w:rFonts w:asciiTheme="minorHAnsi" w:hAnsiTheme="minorHAnsi" w:cstheme="minorHAnsi"/>
                <w:lang w:val="de-CH"/>
              </w:rPr>
              <w:t>z</w:t>
            </w:r>
            <w:r w:rsidRPr="00477502">
              <w:rPr>
                <w:rFonts w:asciiTheme="minorHAnsi" w:hAnsiTheme="minorHAnsi" w:cstheme="minorHAnsi"/>
                <w:lang w:val="de-CH"/>
              </w:rPr>
              <w:t>marktgesetzen nach Artikel 1 Absatz 1 des F</w:t>
            </w:r>
            <w:r w:rsidRPr="00477502">
              <w:rPr>
                <w:rFonts w:asciiTheme="minorHAnsi" w:hAnsiTheme="minorHAnsi" w:cstheme="minorHAnsi"/>
                <w:lang w:val="de-CH"/>
              </w:rPr>
              <w:t>i</w:t>
            </w:r>
            <w:r w:rsidRPr="00477502">
              <w:rPr>
                <w:rFonts w:asciiTheme="minorHAnsi" w:hAnsiTheme="minorHAnsi" w:cstheme="minorHAnsi"/>
                <w:lang w:val="de-CH"/>
              </w:rPr>
              <w:t>nanzmarktaufsichtsgesetzes vom 22. Juni 2007.</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Die Bewilligungs- und Anerkennungsv</w:t>
            </w:r>
            <w:r w:rsidRPr="00477502">
              <w:rPr>
                <w:rFonts w:asciiTheme="minorHAnsi" w:hAnsiTheme="minorHAnsi" w:cstheme="minorHAnsi"/>
                <w:lang w:val="de-CH"/>
              </w:rPr>
              <w:t>o</w:t>
            </w:r>
            <w:r w:rsidRPr="00477502">
              <w:rPr>
                <w:rFonts w:asciiTheme="minorHAnsi" w:hAnsiTheme="minorHAnsi" w:cstheme="minorHAnsi"/>
                <w:lang w:val="de-CH"/>
              </w:rPr>
              <w:t>raussetzungen für den Betreiber eines o</w:t>
            </w:r>
            <w:r w:rsidRPr="00477502">
              <w:rPr>
                <w:rFonts w:asciiTheme="minorHAnsi" w:hAnsiTheme="minorHAnsi" w:cstheme="minorHAnsi"/>
                <w:lang w:val="de-CH"/>
              </w:rPr>
              <w:t>r</w:t>
            </w:r>
            <w:r w:rsidRPr="00477502">
              <w:rPr>
                <w:rFonts w:asciiTheme="minorHAnsi" w:hAnsiTheme="minorHAnsi" w:cstheme="minorHAnsi"/>
                <w:lang w:val="de-CH"/>
              </w:rPr>
              <w:t xml:space="preserve">ganisierten Handelssystems richten sich nach </w:t>
            </w:r>
            <w:r w:rsidRPr="00477502">
              <w:rPr>
                <w:rFonts w:asciiTheme="minorHAnsi" w:hAnsiTheme="minorHAnsi" w:cstheme="minorHAnsi"/>
                <w:b/>
                <w:strike/>
                <w:lang w:val="de-CH"/>
              </w:rPr>
              <w:t xml:space="preserve">den Finanzmarktgesetzen nach </w:t>
            </w:r>
            <w:r w:rsidRPr="00477502">
              <w:rPr>
                <w:rFonts w:asciiTheme="minorHAnsi" w:hAnsiTheme="minorHAnsi" w:cstheme="minorHAnsi"/>
                <w:lang w:val="de-CH"/>
              </w:rPr>
              <w:t>Artikel 1 Absatz 1 des Finanzmarktau</w:t>
            </w:r>
            <w:r w:rsidRPr="00477502">
              <w:rPr>
                <w:rFonts w:asciiTheme="minorHAnsi" w:hAnsiTheme="minorHAnsi" w:cstheme="minorHAnsi"/>
                <w:lang w:val="de-CH"/>
              </w:rPr>
              <w:t>f</w:t>
            </w:r>
            <w:r w:rsidRPr="00477502">
              <w:rPr>
                <w:rFonts w:asciiTheme="minorHAnsi" w:hAnsiTheme="minorHAnsi" w:cstheme="minorHAnsi"/>
                <w:lang w:val="de-CH"/>
              </w:rPr>
              <w:t>sichtsgesetzes vom 22. Juni 2007.</w:t>
            </w:r>
          </w:p>
        </w:tc>
        <w:tc>
          <w:tcPr>
            <w:tcW w:w="3827"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Wir empfehlen "nach den Finanzmark</w:t>
            </w:r>
            <w:r w:rsidRPr="00477502">
              <w:rPr>
                <w:rFonts w:asciiTheme="minorHAnsi" w:hAnsiTheme="minorHAnsi" w:cstheme="minorHAnsi"/>
                <w:lang w:val="de-CH"/>
              </w:rPr>
              <w:t>t</w:t>
            </w:r>
            <w:r w:rsidRPr="00477502">
              <w:rPr>
                <w:rFonts w:asciiTheme="minorHAnsi" w:hAnsiTheme="minorHAnsi" w:cstheme="minorHAnsi"/>
                <w:lang w:val="de-CH"/>
              </w:rPr>
              <w:t>gesetzen" ersatzlos zu streichen.</w:t>
            </w:r>
          </w:p>
        </w:tc>
      </w:tr>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3. Kapitel: Zentrale Gegenparteien</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46 Eigenmittel</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51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6 Unterschreiten ihre Eigenmittel 110 Prozent der Anforderungen nach den Absätzen 1–4, so unte</w:t>
            </w:r>
            <w:r w:rsidRPr="00477502">
              <w:rPr>
                <w:rFonts w:asciiTheme="minorHAnsi" w:hAnsiTheme="minorHAnsi" w:cstheme="minorHAnsi"/>
                <w:lang w:val="de-CH"/>
              </w:rPr>
              <w:t>r</w:t>
            </w:r>
            <w:r w:rsidRPr="00477502">
              <w:rPr>
                <w:rFonts w:asciiTheme="minorHAnsi" w:hAnsiTheme="minorHAnsi" w:cstheme="minorHAnsi"/>
                <w:lang w:val="de-CH"/>
              </w:rPr>
              <w:t>richtet die zentrale Gegenpartei umgehend die FINMA und ihre Prüfgesellschaft und übermittelt ihr einen Plan, der darstellt wie die Grenze wieder eingehalten werden kann.</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6 Unterschreiten ihre Eigenmittel 110 Pr</w:t>
            </w:r>
            <w:r w:rsidRPr="00477502">
              <w:rPr>
                <w:rFonts w:asciiTheme="minorHAnsi" w:hAnsiTheme="minorHAnsi" w:cstheme="minorHAnsi"/>
                <w:lang w:val="de-CH"/>
              </w:rPr>
              <w:t>o</w:t>
            </w:r>
            <w:r w:rsidRPr="00477502">
              <w:rPr>
                <w:rFonts w:asciiTheme="minorHAnsi" w:hAnsiTheme="minorHAnsi" w:cstheme="minorHAnsi"/>
                <w:lang w:val="de-CH"/>
              </w:rPr>
              <w:t>zent der Anforderungen nach den Absätzen 1–4, so unterrichtet die zentrale Gegenpa</w:t>
            </w:r>
            <w:r w:rsidRPr="00477502">
              <w:rPr>
                <w:rFonts w:asciiTheme="minorHAnsi" w:hAnsiTheme="minorHAnsi" w:cstheme="minorHAnsi"/>
                <w:lang w:val="de-CH"/>
              </w:rPr>
              <w:t>r</w:t>
            </w:r>
            <w:r w:rsidRPr="00477502">
              <w:rPr>
                <w:rFonts w:asciiTheme="minorHAnsi" w:hAnsiTheme="minorHAnsi" w:cstheme="minorHAnsi"/>
                <w:lang w:val="de-CH"/>
              </w:rPr>
              <w:t>tei umgehend die FINMA und ihre Prüfg</w:t>
            </w:r>
            <w:r w:rsidRPr="00477502">
              <w:rPr>
                <w:rFonts w:asciiTheme="minorHAnsi" w:hAnsiTheme="minorHAnsi" w:cstheme="minorHAnsi"/>
                <w:lang w:val="de-CH"/>
              </w:rPr>
              <w:t>e</w:t>
            </w:r>
            <w:r w:rsidRPr="00477502">
              <w:rPr>
                <w:rFonts w:asciiTheme="minorHAnsi" w:hAnsiTheme="minorHAnsi" w:cstheme="minorHAnsi"/>
                <w:lang w:val="de-CH"/>
              </w:rPr>
              <w:t xml:space="preserve">sellschaft und übermittelt </w:t>
            </w:r>
            <w:r w:rsidRPr="00477502">
              <w:rPr>
                <w:rFonts w:asciiTheme="minorHAnsi" w:hAnsiTheme="minorHAnsi" w:cstheme="minorHAnsi"/>
                <w:b/>
                <w:lang w:val="de-CH"/>
              </w:rPr>
              <w:t xml:space="preserve">der FINMA </w:t>
            </w:r>
            <w:r w:rsidRPr="00477502">
              <w:rPr>
                <w:rFonts w:asciiTheme="minorHAnsi" w:hAnsiTheme="minorHAnsi" w:cstheme="minorHAnsi"/>
                <w:lang w:val="de-CH"/>
              </w:rPr>
              <w:t>einen Plan, der darstellt wie die Grenze wieder eingehalten werden kann.</w:t>
            </w:r>
            <w:r w:rsidRPr="00477502">
              <w:rPr>
                <w:rFonts w:asciiTheme="minorHAnsi" w:hAnsiTheme="minorHAnsi" w:cstheme="minorHAnsi"/>
                <w:highlight w:val="green"/>
                <w:lang w:val="de-CH"/>
              </w:rPr>
              <w:t xml:space="preserve"> </w:t>
            </w:r>
          </w:p>
        </w:tc>
        <w:tc>
          <w:tcPr>
            <w:tcW w:w="3827" w:type="dxa"/>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Gemäss der Formulierung im Anh</w:t>
            </w:r>
            <w:r w:rsidRPr="00477502">
              <w:rPr>
                <w:rFonts w:asciiTheme="minorHAnsi" w:hAnsiTheme="minorHAnsi" w:cstheme="minorHAnsi"/>
                <w:lang w:val="de-CH"/>
              </w:rPr>
              <w:t>ö</w:t>
            </w:r>
            <w:r w:rsidRPr="00477502">
              <w:rPr>
                <w:rFonts w:asciiTheme="minorHAnsi" w:hAnsiTheme="minorHAnsi" w:cstheme="minorHAnsi"/>
                <w:lang w:val="de-CH"/>
              </w:rPr>
              <w:t>rungsentwurf ist nicht eindeutig, wem der Plan einzureichen ist. Da die Bewi</w:t>
            </w:r>
            <w:r w:rsidRPr="00477502">
              <w:rPr>
                <w:rFonts w:asciiTheme="minorHAnsi" w:hAnsiTheme="minorHAnsi" w:cstheme="minorHAnsi"/>
                <w:lang w:val="de-CH"/>
              </w:rPr>
              <w:t>l</w:t>
            </w:r>
            <w:r w:rsidRPr="00477502">
              <w:rPr>
                <w:rFonts w:asciiTheme="minorHAnsi" w:hAnsiTheme="minorHAnsi" w:cstheme="minorHAnsi"/>
                <w:lang w:val="de-CH"/>
              </w:rPr>
              <w:t>ligung zum Geschäftsbetrieb der FINMA obliegt, ist diese unseres Erachtens der gemeinte Adressat des Planes. Sofern die Absicht besteht, dass der Plan auch der Prüfgesellschaft eingereicht wird, muss dies in der Verordnung klarer fes</w:t>
            </w:r>
            <w:r w:rsidRPr="00477502">
              <w:rPr>
                <w:rFonts w:asciiTheme="minorHAnsi" w:hAnsiTheme="minorHAnsi" w:cstheme="minorHAnsi"/>
                <w:lang w:val="de-CH"/>
              </w:rPr>
              <w:t>t</w:t>
            </w:r>
            <w:r w:rsidRPr="00477502">
              <w:rPr>
                <w:rFonts w:asciiTheme="minorHAnsi" w:hAnsiTheme="minorHAnsi" w:cstheme="minorHAnsi"/>
                <w:lang w:val="de-CH"/>
              </w:rPr>
              <w:t>gelegt werden und es ist zu regeln, we</w:t>
            </w:r>
            <w:r w:rsidRPr="00477502">
              <w:rPr>
                <w:rFonts w:asciiTheme="minorHAnsi" w:hAnsiTheme="minorHAnsi" w:cstheme="minorHAnsi"/>
                <w:lang w:val="de-CH"/>
              </w:rPr>
              <w:t>l</w:t>
            </w:r>
            <w:r w:rsidRPr="00477502">
              <w:rPr>
                <w:rFonts w:asciiTheme="minorHAnsi" w:hAnsiTheme="minorHAnsi" w:cstheme="minorHAnsi"/>
                <w:lang w:val="de-CH"/>
              </w:rPr>
              <w:t>che Aufgaben der Prüfgesellschaft in Bezug auf diesen Plan obliegen.</w:t>
            </w:r>
          </w:p>
        </w:tc>
      </w:tr>
    </w:tbl>
    <w:p w:rsidR="00282D7A" w:rsidRDefault="00282D7A">
      <w:r>
        <w:br w:type="page"/>
      </w:r>
    </w:p>
    <w:tbl>
      <w:tblPr>
        <w:tblStyle w:val="Tabellenraster"/>
        <w:tblW w:w="0" w:type="auto"/>
        <w:tblLook w:val="04A0" w:firstRow="1" w:lastRow="0" w:firstColumn="1" w:lastColumn="0" w:noHBand="0" w:noVBand="1"/>
      </w:tblPr>
      <w:tblGrid>
        <w:gridCol w:w="4673"/>
        <w:gridCol w:w="4111"/>
        <w:gridCol w:w="3827"/>
      </w:tblGrid>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lastRenderedPageBreak/>
              <w:t>5. Kapitel: Transaktionsregister</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61 Datenzugang für ausländische Behörden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78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Das Transaktionsregister gewährt ausländ</w:t>
            </w:r>
            <w:r w:rsidRPr="00477502">
              <w:rPr>
                <w:rFonts w:asciiTheme="minorHAnsi" w:hAnsiTheme="minorHAnsi" w:cstheme="minorHAnsi"/>
                <w:lang w:val="de-CH"/>
              </w:rPr>
              <w:t>i</w:t>
            </w:r>
            <w:r w:rsidRPr="00477502">
              <w:rPr>
                <w:rFonts w:asciiTheme="minorHAnsi" w:hAnsiTheme="minorHAnsi" w:cstheme="minorHAnsi"/>
                <w:lang w:val="de-CH"/>
              </w:rPr>
              <w:t>schen Finanzmarktaufsichtsbehörden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ausschliesslich zum Zweck des Vollzugs des F</w:t>
            </w:r>
            <w:r w:rsidRPr="00477502">
              <w:rPr>
                <w:rFonts w:asciiTheme="minorHAnsi" w:hAnsiTheme="minorHAnsi" w:cstheme="minorHAnsi"/>
                <w:lang w:val="de-CH"/>
              </w:rPr>
              <w:t>i</w:t>
            </w:r>
            <w:r w:rsidRPr="00477502">
              <w:rPr>
                <w:rFonts w:asciiTheme="minorHAnsi" w:hAnsiTheme="minorHAnsi" w:cstheme="minorHAnsi"/>
                <w:lang w:val="de-CH"/>
              </w:rPr>
              <w:t>nanzmarktrechts Zugang zu Transaktionsdaten.</w:t>
            </w:r>
          </w:p>
          <w:p w:rsidR="00343817" w:rsidRPr="00477502" w:rsidRDefault="00343817" w:rsidP="00343817">
            <w:pPr>
              <w:pStyle w:val="KeinLeerraum"/>
              <w:rPr>
                <w:rFonts w:asciiTheme="minorHAnsi" w:hAnsiTheme="minorHAnsi" w:cstheme="minorHAnsi"/>
                <w:lang w:val="de-CH"/>
              </w:rPr>
            </w:pP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 ausschliesslich zum Zweck des Vol</w:t>
            </w:r>
            <w:r w:rsidRPr="00477502">
              <w:rPr>
                <w:rFonts w:asciiTheme="minorHAnsi" w:hAnsiTheme="minorHAnsi" w:cstheme="minorHAnsi"/>
                <w:lang w:val="de-CH"/>
              </w:rPr>
              <w:t>l</w:t>
            </w:r>
            <w:r w:rsidRPr="00477502">
              <w:rPr>
                <w:rFonts w:asciiTheme="minorHAnsi" w:hAnsiTheme="minorHAnsi" w:cstheme="minorHAnsi"/>
                <w:lang w:val="de-CH"/>
              </w:rPr>
              <w:t xml:space="preserve">zugs </w:t>
            </w:r>
            <w:r w:rsidRPr="00477502">
              <w:rPr>
                <w:rFonts w:asciiTheme="minorHAnsi" w:hAnsiTheme="minorHAnsi" w:cstheme="minorHAnsi"/>
                <w:b/>
                <w:lang w:val="de-CH"/>
              </w:rPr>
              <w:t>ihres jeweiligen Finanzmarktrechts</w:t>
            </w:r>
            <w:r w:rsidRPr="00477502">
              <w:rPr>
                <w:rFonts w:asciiTheme="minorHAnsi" w:hAnsiTheme="minorHAnsi" w:cstheme="minorHAnsi"/>
                <w:lang w:val="de-CH"/>
              </w:rPr>
              <w:t xml:space="preserve"> Zugang zu Transaktionsdaten. </w:t>
            </w:r>
          </w:p>
          <w:p w:rsidR="00343817" w:rsidRPr="00477502" w:rsidRDefault="00343817" w:rsidP="00343817">
            <w:pPr>
              <w:pStyle w:val="KeinLeerraum"/>
              <w:rPr>
                <w:rFonts w:asciiTheme="minorHAnsi" w:hAnsiTheme="minorHAnsi" w:cstheme="minorHAnsi"/>
                <w:highlight w:val="green"/>
                <w:lang w:val="de-CH"/>
              </w:rPr>
            </w:pPr>
          </w:p>
        </w:tc>
        <w:tc>
          <w:tcPr>
            <w:tcW w:w="3827"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Wir empfehlen zu präzisieren, zum Zweck des Vollzugs </w:t>
            </w:r>
            <w:r w:rsidRPr="00477502">
              <w:rPr>
                <w:rFonts w:asciiTheme="minorHAnsi" w:hAnsiTheme="minorHAnsi" w:cstheme="minorHAnsi"/>
                <w:i/>
                <w:lang w:val="de-CH"/>
              </w:rPr>
              <w:t xml:space="preserve">welches </w:t>
            </w:r>
            <w:r w:rsidRPr="00477502">
              <w:rPr>
                <w:rFonts w:asciiTheme="minorHAnsi" w:hAnsiTheme="minorHAnsi" w:cstheme="minorHAnsi"/>
                <w:lang w:val="de-CH"/>
              </w:rPr>
              <w:t>Finan</w:t>
            </w:r>
            <w:r w:rsidRPr="00477502">
              <w:rPr>
                <w:rFonts w:asciiTheme="minorHAnsi" w:hAnsiTheme="minorHAnsi" w:cstheme="minorHAnsi"/>
                <w:lang w:val="de-CH"/>
              </w:rPr>
              <w:t>z</w:t>
            </w:r>
            <w:r w:rsidRPr="00477502">
              <w:rPr>
                <w:rFonts w:asciiTheme="minorHAnsi" w:hAnsiTheme="minorHAnsi" w:cstheme="minorHAnsi"/>
                <w:lang w:val="de-CH"/>
              </w:rPr>
              <w:t>marktrechts Zugang gewährt werden soll (auch wenn sich aus dem Zusa</w:t>
            </w:r>
            <w:r w:rsidRPr="00477502">
              <w:rPr>
                <w:rFonts w:asciiTheme="minorHAnsi" w:hAnsiTheme="minorHAnsi" w:cstheme="minorHAnsi"/>
                <w:lang w:val="de-CH"/>
              </w:rPr>
              <w:t>m</w:t>
            </w:r>
            <w:r w:rsidRPr="00477502">
              <w:rPr>
                <w:rFonts w:asciiTheme="minorHAnsi" w:hAnsiTheme="minorHAnsi" w:cstheme="minorHAnsi"/>
                <w:lang w:val="de-CH"/>
              </w:rPr>
              <w:t>menhang erschliesst, welches Finan</w:t>
            </w:r>
            <w:r w:rsidRPr="00477502">
              <w:rPr>
                <w:rFonts w:asciiTheme="minorHAnsi" w:hAnsiTheme="minorHAnsi" w:cstheme="minorHAnsi"/>
                <w:lang w:val="de-CH"/>
              </w:rPr>
              <w:t>z</w:t>
            </w:r>
            <w:r w:rsidRPr="00477502">
              <w:rPr>
                <w:rFonts w:asciiTheme="minorHAnsi" w:hAnsiTheme="minorHAnsi" w:cstheme="minorHAnsi"/>
                <w:lang w:val="de-CH"/>
              </w:rPr>
              <w:t xml:space="preserve">marktrecht im konkreten Fall gemeint sein muss). </w:t>
            </w:r>
          </w:p>
        </w:tc>
      </w:tr>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7. Kapitel: Aufsicht und Überwachung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67 Prüfung</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84 Abs. 1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Die Prüfgesellschaft der Finanzmarktinfrastru</w:t>
            </w:r>
            <w:r w:rsidRPr="00477502">
              <w:rPr>
                <w:rFonts w:asciiTheme="minorHAnsi" w:hAnsiTheme="minorHAnsi" w:cstheme="minorHAnsi"/>
                <w:lang w:val="de-CH"/>
              </w:rPr>
              <w:t>k</w:t>
            </w:r>
            <w:r w:rsidRPr="00477502">
              <w:rPr>
                <w:rFonts w:asciiTheme="minorHAnsi" w:hAnsiTheme="minorHAnsi" w:cstheme="minorHAnsi"/>
                <w:lang w:val="de-CH"/>
              </w:rPr>
              <w:t>tur prüft, ob diese die Verpflichtungen erfüllt, die sich aus dem Gesetz, aus dieser Verordnung und aus ihren vertraglichen Grundlagen ergeben.</w:t>
            </w:r>
          </w:p>
          <w:p w:rsidR="00343817" w:rsidRPr="00477502" w:rsidRDefault="00343817" w:rsidP="003B1C48">
            <w:pPr>
              <w:pStyle w:val="KeinLeerraum"/>
              <w:rPr>
                <w:rFonts w:asciiTheme="minorHAnsi" w:hAnsiTheme="minorHAnsi" w:cstheme="minorHAnsi"/>
                <w:lang w:val="de-CH"/>
              </w:rPr>
            </w:pPr>
            <w:r w:rsidRPr="00477502">
              <w:rPr>
                <w:rFonts w:asciiTheme="minorHAnsi" w:hAnsiTheme="minorHAnsi" w:cstheme="minorHAnsi"/>
                <w:lang w:val="de-CH"/>
              </w:rPr>
              <w:t xml:space="preserve">2 </w:t>
            </w:r>
            <w:r w:rsidR="003B1C48">
              <w:rPr>
                <w:rFonts w:asciiTheme="minorHAnsi" w:hAnsiTheme="minorHAnsi" w:cstheme="minorHAnsi"/>
                <w:lang w:val="de-CH"/>
              </w:rPr>
              <w:t>…</w:t>
            </w:r>
            <w:r w:rsidRPr="00477502">
              <w:rPr>
                <w:rFonts w:asciiTheme="minorHAnsi" w:hAnsiTheme="minorHAnsi" w:cstheme="minorHAnsi"/>
                <w:lang w:val="de-CH"/>
              </w:rPr>
              <w:t>.</w:t>
            </w:r>
            <w:r w:rsidR="003B1C48">
              <w:rPr>
                <w:rFonts w:asciiTheme="minorHAnsi" w:hAnsiTheme="minorHAnsi" w:cstheme="minorHAnsi"/>
                <w:lang w:val="de-CH"/>
              </w:rPr>
              <w:t>.</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Die Prüfgesellschaft der Finanzmarktin</w:t>
            </w:r>
            <w:r w:rsidRPr="00477502">
              <w:rPr>
                <w:rFonts w:asciiTheme="minorHAnsi" w:hAnsiTheme="minorHAnsi" w:cstheme="minorHAnsi"/>
                <w:lang w:val="de-CH"/>
              </w:rPr>
              <w:t>f</w:t>
            </w:r>
            <w:r w:rsidRPr="00477502">
              <w:rPr>
                <w:rFonts w:asciiTheme="minorHAnsi" w:hAnsiTheme="minorHAnsi" w:cstheme="minorHAnsi"/>
                <w:lang w:val="de-CH"/>
              </w:rPr>
              <w:t xml:space="preserve">rastruktur prüft nach einem </w:t>
            </w:r>
            <w:r w:rsidRPr="00477502">
              <w:rPr>
                <w:rFonts w:asciiTheme="minorHAnsi" w:hAnsiTheme="minorHAnsi" w:cstheme="minorHAnsi"/>
                <w:b/>
                <w:lang w:val="de-CH"/>
              </w:rPr>
              <w:t>risiko</w:t>
            </w:r>
            <w:r w:rsidR="003B1C48">
              <w:rPr>
                <w:rFonts w:asciiTheme="minorHAnsi" w:hAnsiTheme="minorHAnsi" w:cstheme="minorHAnsi"/>
                <w:b/>
                <w:lang w:val="de-CH"/>
              </w:rPr>
              <w:t>o</w:t>
            </w:r>
            <w:r w:rsidRPr="00477502">
              <w:rPr>
                <w:rFonts w:asciiTheme="minorHAnsi" w:hAnsiTheme="minorHAnsi" w:cstheme="minorHAnsi"/>
                <w:b/>
                <w:lang w:val="de-CH"/>
              </w:rPr>
              <w:t>rie</w:t>
            </w:r>
            <w:r w:rsidR="003B1C48">
              <w:rPr>
                <w:rFonts w:asciiTheme="minorHAnsi" w:hAnsiTheme="minorHAnsi" w:cstheme="minorHAnsi"/>
                <w:b/>
                <w:lang w:val="de-CH"/>
              </w:rPr>
              <w:t>n</w:t>
            </w:r>
            <w:r w:rsidRPr="00477502">
              <w:rPr>
                <w:rFonts w:asciiTheme="minorHAnsi" w:hAnsiTheme="minorHAnsi" w:cstheme="minorHAnsi"/>
                <w:b/>
                <w:lang w:val="de-CH"/>
              </w:rPr>
              <w:t>tie</w:t>
            </w:r>
            <w:r w:rsidRPr="00477502">
              <w:rPr>
                <w:rFonts w:asciiTheme="minorHAnsi" w:hAnsiTheme="minorHAnsi" w:cstheme="minorHAnsi"/>
                <w:b/>
                <w:lang w:val="de-CH"/>
              </w:rPr>
              <w:t>r</w:t>
            </w:r>
            <w:r w:rsidRPr="00477502">
              <w:rPr>
                <w:rFonts w:asciiTheme="minorHAnsi" w:hAnsiTheme="minorHAnsi" w:cstheme="minorHAnsi"/>
                <w:b/>
                <w:lang w:val="de-CH"/>
              </w:rPr>
              <w:t>ten Ansatz,</w:t>
            </w:r>
            <w:r w:rsidRPr="00477502">
              <w:rPr>
                <w:rFonts w:asciiTheme="minorHAnsi" w:hAnsiTheme="minorHAnsi" w:cstheme="minorHAnsi"/>
                <w:lang w:val="de-CH"/>
              </w:rPr>
              <w:t xml:space="preserve"> ob diese die Verpflichtungen erfüllt, die sich aus dem Gesetz, aus dieser Verordnung und aus ihren vertraglichen Grundlagen ergeben.</w:t>
            </w:r>
          </w:p>
          <w:p w:rsidR="00343817" w:rsidRPr="00477502" w:rsidRDefault="00343817" w:rsidP="00343817">
            <w:pPr>
              <w:pStyle w:val="KeinLeerraum"/>
              <w:rPr>
                <w:rFonts w:asciiTheme="minorHAnsi" w:hAnsiTheme="minorHAnsi" w:cstheme="minorHAnsi"/>
                <w:highlight w:val="green"/>
                <w:lang w:val="de-CH"/>
              </w:rPr>
            </w:pPr>
          </w:p>
        </w:tc>
        <w:tc>
          <w:tcPr>
            <w:tcW w:w="3827"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Formulierung könnte dahingehend inte</w:t>
            </w:r>
            <w:r w:rsidRPr="00477502">
              <w:rPr>
                <w:rFonts w:asciiTheme="minorHAnsi" w:hAnsiTheme="minorHAnsi" w:cstheme="minorHAnsi"/>
                <w:lang w:val="de-CH"/>
              </w:rPr>
              <w:t>r</w:t>
            </w:r>
            <w:r w:rsidRPr="00477502">
              <w:rPr>
                <w:rFonts w:asciiTheme="minorHAnsi" w:hAnsiTheme="minorHAnsi" w:cstheme="minorHAnsi"/>
                <w:lang w:val="de-CH"/>
              </w:rPr>
              <w:t>pretiert werden, dass die Prüfgesel</w:t>
            </w:r>
            <w:r w:rsidRPr="00477502">
              <w:rPr>
                <w:rFonts w:asciiTheme="minorHAnsi" w:hAnsiTheme="minorHAnsi" w:cstheme="minorHAnsi"/>
                <w:lang w:val="de-CH"/>
              </w:rPr>
              <w:t>l</w:t>
            </w:r>
            <w:r w:rsidRPr="00477502">
              <w:rPr>
                <w:rFonts w:asciiTheme="minorHAnsi" w:hAnsiTheme="minorHAnsi" w:cstheme="minorHAnsi"/>
                <w:lang w:val="de-CH"/>
              </w:rPr>
              <w:t>schaft jährlich eine vollumfängliche Pr</w:t>
            </w:r>
            <w:r w:rsidRPr="00477502">
              <w:rPr>
                <w:rFonts w:asciiTheme="minorHAnsi" w:hAnsiTheme="minorHAnsi" w:cstheme="minorHAnsi"/>
                <w:lang w:val="de-CH"/>
              </w:rPr>
              <w:t>ü</w:t>
            </w:r>
            <w:r w:rsidRPr="00477502">
              <w:rPr>
                <w:rFonts w:asciiTheme="minorHAnsi" w:hAnsiTheme="minorHAnsi" w:cstheme="minorHAnsi"/>
                <w:lang w:val="de-CH"/>
              </w:rPr>
              <w:t>fung der Einhaltung der Verpflichtungen, welche sich aus dem Gesetz, der Ve</w:t>
            </w:r>
            <w:r w:rsidRPr="00477502">
              <w:rPr>
                <w:rFonts w:asciiTheme="minorHAnsi" w:hAnsiTheme="minorHAnsi" w:cstheme="minorHAnsi"/>
                <w:lang w:val="de-CH"/>
              </w:rPr>
              <w:t>r</w:t>
            </w:r>
            <w:r w:rsidRPr="00477502">
              <w:rPr>
                <w:rFonts w:asciiTheme="minorHAnsi" w:hAnsiTheme="minorHAnsi" w:cstheme="minorHAnsi"/>
                <w:lang w:val="de-CH"/>
              </w:rPr>
              <w:t>ordnung und der vertraglichen Grundl</w:t>
            </w:r>
            <w:r w:rsidRPr="00477502">
              <w:rPr>
                <w:rFonts w:asciiTheme="minorHAnsi" w:hAnsiTheme="minorHAnsi" w:cstheme="minorHAnsi"/>
                <w:lang w:val="de-CH"/>
              </w:rPr>
              <w:t>a</w:t>
            </w:r>
            <w:r w:rsidRPr="00477502">
              <w:rPr>
                <w:rFonts w:asciiTheme="minorHAnsi" w:hAnsiTheme="minorHAnsi" w:cstheme="minorHAnsi"/>
                <w:lang w:val="de-CH"/>
              </w:rPr>
              <w:t>gen ergeben vornimmt. Art. 84 Abs. 1 FinfraG nimmt jedoch Bezug auf Art. 24 FINMAG, welcher einen risikoorientie</w:t>
            </w:r>
            <w:r w:rsidRPr="00477502">
              <w:rPr>
                <w:rFonts w:asciiTheme="minorHAnsi" w:hAnsiTheme="minorHAnsi" w:cstheme="minorHAnsi"/>
                <w:lang w:val="de-CH"/>
              </w:rPr>
              <w:t>r</w:t>
            </w:r>
            <w:r w:rsidRPr="00477502">
              <w:rPr>
                <w:rFonts w:asciiTheme="minorHAnsi" w:hAnsiTheme="minorHAnsi" w:cstheme="minorHAnsi"/>
                <w:lang w:val="de-CH"/>
              </w:rPr>
              <w:t xml:space="preserve">ten Prüfungsansatz bestimmt. </w:t>
            </w:r>
          </w:p>
        </w:tc>
      </w:tr>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8. Kapitel: Insolvenzrechtliche Bestimmungen</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70 Vorrang von Vereinbarungen bei Insolvenz</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90 und 91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70034B"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Unter Übertragung von Forderungen und Ve</w:t>
            </w:r>
            <w:r w:rsidRPr="00477502">
              <w:rPr>
                <w:rFonts w:asciiTheme="minorHAnsi" w:hAnsiTheme="minorHAnsi" w:cstheme="minorHAnsi"/>
                <w:lang w:val="de-CH"/>
              </w:rPr>
              <w:t>r</w:t>
            </w:r>
            <w:r w:rsidRPr="00477502">
              <w:rPr>
                <w:rFonts w:asciiTheme="minorHAnsi" w:hAnsiTheme="minorHAnsi" w:cstheme="minorHAnsi"/>
                <w:lang w:val="de-CH"/>
              </w:rPr>
              <w:t>pflichtungen zu verstehen ist insbesondere die Abtretung, die Aufhebung und Neubegründung durch Übereinkunft sowie das Schliessen einer Position gefolgt von der Wiedereröffnung einer äquivalenten Position.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w:t>
            </w:r>
          </w:p>
        </w:tc>
        <w:tc>
          <w:tcPr>
            <w:tcW w:w="4111" w:type="dxa"/>
            <w:shd w:val="clear" w:color="auto" w:fill="auto"/>
          </w:tcPr>
          <w:p w:rsidR="00343817" w:rsidRPr="00477502" w:rsidRDefault="00343817" w:rsidP="00343817">
            <w:pPr>
              <w:pStyle w:val="KeinLeerraum"/>
              <w:rPr>
                <w:rFonts w:asciiTheme="minorHAnsi" w:hAnsiTheme="minorHAnsi" w:cstheme="minorHAnsi"/>
                <w:highlight w:val="green"/>
                <w:lang w:val="de-CH"/>
              </w:rPr>
            </w:pPr>
          </w:p>
          <w:p w:rsidR="00343817" w:rsidRPr="00477502" w:rsidRDefault="00343817" w:rsidP="00343817">
            <w:pPr>
              <w:pStyle w:val="KeinLeerraum"/>
              <w:rPr>
                <w:rFonts w:asciiTheme="minorHAnsi" w:hAnsiTheme="minorHAnsi" w:cstheme="minorHAnsi"/>
                <w:highlight w:val="green"/>
                <w:lang w:val="de-CH"/>
              </w:rPr>
            </w:pPr>
            <w:r w:rsidRPr="00477502">
              <w:rPr>
                <w:rFonts w:asciiTheme="minorHAnsi" w:hAnsiTheme="minorHAnsi" w:cstheme="minorHAnsi"/>
                <w:lang w:val="de-CH"/>
              </w:rPr>
              <w:t xml:space="preserve">2 Unter Übertragung von Forderungen und Verpflichtungen </w:t>
            </w:r>
            <w:r w:rsidRPr="00477502">
              <w:rPr>
                <w:rFonts w:asciiTheme="minorHAnsi" w:hAnsiTheme="minorHAnsi" w:cstheme="minorHAnsi"/>
                <w:b/>
                <w:strike/>
                <w:lang w:val="de-CH"/>
              </w:rPr>
              <w:t>zu verstehen</w:t>
            </w:r>
            <w:r w:rsidRPr="00477502">
              <w:rPr>
                <w:rFonts w:asciiTheme="minorHAnsi" w:hAnsiTheme="minorHAnsi" w:cstheme="minorHAnsi"/>
                <w:lang w:val="de-CH"/>
              </w:rPr>
              <w:t xml:space="preserve"> ist insbeso</w:t>
            </w:r>
            <w:r w:rsidRPr="00477502">
              <w:rPr>
                <w:rFonts w:asciiTheme="minorHAnsi" w:hAnsiTheme="minorHAnsi" w:cstheme="minorHAnsi"/>
                <w:lang w:val="de-CH"/>
              </w:rPr>
              <w:t>n</w:t>
            </w:r>
            <w:r w:rsidRPr="00477502">
              <w:rPr>
                <w:rFonts w:asciiTheme="minorHAnsi" w:hAnsiTheme="minorHAnsi" w:cstheme="minorHAnsi"/>
                <w:lang w:val="de-CH"/>
              </w:rPr>
              <w:t>dere die Abtretung, die Aufhebung und Neubegründung durch Übereinkunft sowie das Schliessen einer Position gefolgt von der Wiedereröffnung einer äquivalenten Position zu verstehen.</w:t>
            </w:r>
          </w:p>
        </w:tc>
        <w:tc>
          <w:tcPr>
            <w:tcW w:w="3827" w:type="dxa"/>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Bessere Satzstellung. </w:t>
            </w:r>
          </w:p>
        </w:tc>
      </w:tr>
    </w:tbl>
    <w:p w:rsidR="00282D7A" w:rsidRDefault="00282D7A">
      <w:r>
        <w:br w:type="page"/>
      </w:r>
    </w:p>
    <w:tbl>
      <w:tblPr>
        <w:tblStyle w:val="Tabellenraster"/>
        <w:tblW w:w="0" w:type="auto"/>
        <w:tblLook w:val="04A0" w:firstRow="1" w:lastRow="0" w:firstColumn="1" w:lastColumn="0" w:noHBand="0" w:noVBand="1"/>
      </w:tblPr>
      <w:tblGrid>
        <w:gridCol w:w="4673"/>
        <w:gridCol w:w="4111"/>
        <w:gridCol w:w="3827"/>
      </w:tblGrid>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lastRenderedPageBreak/>
              <w:t>3. Titel: Marktverhalten</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Kapitel: Handel mit Derivaten</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Abschnitt: Allgemeines</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72 Kollektive Kapitalanlagen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93 Abs. 2 Bst. e und f FinfraG)</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Ob eine kollektive Kapitalanlage als Finanzielle Gegenpartei oder als kleine Finanzielle Gege</w:t>
            </w:r>
            <w:r w:rsidRPr="00477502">
              <w:rPr>
                <w:rFonts w:asciiTheme="minorHAnsi" w:hAnsiTheme="minorHAnsi" w:cstheme="minorHAnsi"/>
                <w:lang w:val="de-CH"/>
              </w:rPr>
              <w:t>n</w:t>
            </w:r>
            <w:r w:rsidRPr="00477502">
              <w:rPr>
                <w:rFonts w:asciiTheme="minorHAnsi" w:hAnsiTheme="minorHAnsi" w:cstheme="minorHAnsi"/>
                <w:lang w:val="de-CH"/>
              </w:rPr>
              <w:t>partei gilt, bestimmt sich unbesehen, ob ihr Rechtspersönlichkeit zukommt oder nicht, en</w:t>
            </w:r>
            <w:r w:rsidRPr="00477502">
              <w:rPr>
                <w:rFonts w:asciiTheme="minorHAnsi" w:hAnsiTheme="minorHAnsi" w:cstheme="minorHAnsi"/>
                <w:lang w:val="de-CH"/>
              </w:rPr>
              <w:t>t</w:t>
            </w:r>
            <w:r w:rsidRPr="00477502">
              <w:rPr>
                <w:rFonts w:asciiTheme="minorHAnsi" w:hAnsiTheme="minorHAnsi" w:cstheme="minorHAnsi"/>
                <w:lang w:val="de-CH"/>
              </w:rPr>
              <w:t>sprechend den nach Massgabe von Artikel 99 FinfraG auf ihre Rechnung getätigten OTC-Derivatgeschäften.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Die Pflicht, für die kollektive Kapitalanlage zu handeln obliegt: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bei vertraglichen kollektiven Kapitalanlagen: der Fondsleitung oder dem mit Pflichten beim Handel mit Derivaten betrauten Vermögensve</w:t>
            </w:r>
            <w:r w:rsidRPr="00477502">
              <w:rPr>
                <w:rFonts w:asciiTheme="minorHAnsi" w:hAnsiTheme="minorHAnsi" w:cstheme="minorHAnsi"/>
                <w:lang w:val="de-CH"/>
              </w:rPr>
              <w:t>r</w:t>
            </w:r>
            <w:r w:rsidRPr="00477502">
              <w:rPr>
                <w:rFonts w:asciiTheme="minorHAnsi" w:hAnsiTheme="minorHAnsi" w:cstheme="minorHAnsi"/>
                <w:lang w:val="de-CH"/>
              </w:rPr>
              <w:t>walter;</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b. bei kollektiven Kapitalanlagen in Gesellschaft</w:t>
            </w:r>
            <w:r w:rsidRPr="00477502">
              <w:rPr>
                <w:rFonts w:asciiTheme="minorHAnsi" w:hAnsiTheme="minorHAnsi" w:cstheme="minorHAnsi"/>
                <w:lang w:val="de-CH"/>
              </w:rPr>
              <w:t>s</w:t>
            </w:r>
            <w:r w:rsidRPr="00477502">
              <w:rPr>
                <w:rFonts w:asciiTheme="minorHAnsi" w:hAnsiTheme="minorHAnsi" w:cstheme="minorHAnsi"/>
                <w:lang w:val="de-CH"/>
              </w:rPr>
              <w:t>form: der Gesellschaft.</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color w:val="000000" w:themeColor="text1"/>
                <w:lang w:val="de-CH"/>
              </w:rPr>
              <w:t>Wir empfehlen zusätzlich in der FinfraV zu regeln, dass diese Regelung in an</w:t>
            </w:r>
            <w:r w:rsidRPr="00477502">
              <w:rPr>
                <w:rFonts w:asciiTheme="minorHAnsi" w:hAnsiTheme="minorHAnsi" w:cstheme="minorHAnsi"/>
                <w:color w:val="000000" w:themeColor="text1"/>
                <w:lang w:val="de-CH"/>
              </w:rPr>
              <w:t>a</w:t>
            </w:r>
            <w:r w:rsidRPr="00477502">
              <w:rPr>
                <w:rFonts w:asciiTheme="minorHAnsi" w:hAnsiTheme="minorHAnsi" w:cstheme="minorHAnsi"/>
                <w:color w:val="000000" w:themeColor="text1"/>
                <w:lang w:val="de-CH"/>
              </w:rPr>
              <w:t>loger Weise auch für Vermögensverwa</w:t>
            </w:r>
            <w:r w:rsidRPr="00477502">
              <w:rPr>
                <w:rFonts w:asciiTheme="minorHAnsi" w:hAnsiTheme="minorHAnsi" w:cstheme="minorHAnsi"/>
                <w:color w:val="000000" w:themeColor="text1"/>
                <w:lang w:val="de-CH"/>
              </w:rPr>
              <w:t>l</w:t>
            </w:r>
            <w:r w:rsidRPr="00477502">
              <w:rPr>
                <w:rFonts w:asciiTheme="minorHAnsi" w:hAnsiTheme="minorHAnsi" w:cstheme="minorHAnsi"/>
                <w:color w:val="000000" w:themeColor="text1"/>
                <w:lang w:val="de-CH"/>
              </w:rPr>
              <w:t>tungsverträge gilt, in denen ein Verm</w:t>
            </w:r>
            <w:r w:rsidRPr="00477502">
              <w:rPr>
                <w:rFonts w:asciiTheme="minorHAnsi" w:hAnsiTheme="minorHAnsi" w:cstheme="minorHAnsi"/>
                <w:color w:val="000000" w:themeColor="text1"/>
                <w:lang w:val="de-CH"/>
              </w:rPr>
              <w:t>ö</w:t>
            </w:r>
            <w:r w:rsidRPr="00477502">
              <w:rPr>
                <w:rFonts w:asciiTheme="minorHAnsi" w:hAnsiTheme="minorHAnsi" w:cstheme="minorHAnsi"/>
                <w:color w:val="000000" w:themeColor="text1"/>
                <w:lang w:val="de-CH"/>
              </w:rPr>
              <w:t>gensverwalter in seinem Namen auf Rechnungen seiner Klienten handelt.</w:t>
            </w:r>
          </w:p>
        </w:tc>
      </w:tr>
      <w:tr w:rsidR="00343817" w:rsidRPr="00282D7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74 Niederlassungen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93 Abs. 5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Stellt die FINMA fest, dass eine Schweizer Ni</w:t>
            </w:r>
            <w:r w:rsidRPr="00477502">
              <w:rPr>
                <w:rFonts w:asciiTheme="minorHAnsi" w:hAnsiTheme="minorHAnsi" w:cstheme="minorHAnsi"/>
                <w:lang w:val="de-CH"/>
              </w:rPr>
              <w:t>e</w:t>
            </w:r>
            <w:r w:rsidRPr="00477502">
              <w:rPr>
                <w:rFonts w:asciiTheme="minorHAnsi" w:hAnsiTheme="minorHAnsi" w:cstheme="minorHAnsi"/>
                <w:lang w:val="de-CH"/>
              </w:rPr>
              <w:t>derlassung eines ausländischen Finanzmarkttei</w:t>
            </w:r>
            <w:r w:rsidRPr="00477502">
              <w:rPr>
                <w:rFonts w:asciiTheme="minorHAnsi" w:hAnsiTheme="minorHAnsi" w:cstheme="minorHAnsi"/>
                <w:lang w:val="de-CH"/>
              </w:rPr>
              <w:t>l</w:t>
            </w:r>
            <w:r w:rsidRPr="00477502">
              <w:rPr>
                <w:rFonts w:asciiTheme="minorHAnsi" w:hAnsiTheme="minorHAnsi" w:cstheme="minorHAnsi"/>
                <w:lang w:val="de-CH"/>
              </w:rPr>
              <w:t>nehmers einer Regulierung untersteht, welche den gesetzlichen Anforderungen in wesentlichen Teilen nicht entspricht, so unterstellt sie die Ni</w:t>
            </w:r>
            <w:r w:rsidRPr="00477502">
              <w:rPr>
                <w:rFonts w:asciiTheme="minorHAnsi" w:hAnsiTheme="minorHAnsi" w:cstheme="minorHAnsi"/>
                <w:lang w:val="de-CH"/>
              </w:rPr>
              <w:t>e</w:t>
            </w:r>
            <w:r w:rsidRPr="00477502">
              <w:rPr>
                <w:rFonts w:asciiTheme="minorHAnsi" w:hAnsiTheme="minorHAnsi" w:cstheme="minorHAnsi"/>
                <w:lang w:val="de-CH"/>
              </w:rPr>
              <w:t>derlassung für die von dieser getätigten Deriva</w:t>
            </w:r>
            <w:r w:rsidRPr="00477502">
              <w:rPr>
                <w:rFonts w:asciiTheme="minorHAnsi" w:hAnsiTheme="minorHAnsi" w:cstheme="minorHAnsi"/>
                <w:lang w:val="de-CH"/>
              </w:rPr>
              <w:t>t</w:t>
            </w:r>
            <w:r w:rsidRPr="00477502">
              <w:rPr>
                <w:rFonts w:asciiTheme="minorHAnsi" w:hAnsiTheme="minorHAnsi" w:cstheme="minorHAnsi"/>
                <w:lang w:val="de-CH"/>
              </w:rPr>
              <w:t>geschäfte den Bestimmungen FinfraG über den Handel mit Derivaten (Art. 93–117).</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Diese Bestimmungen gelten auch für im Au</w:t>
            </w:r>
            <w:r w:rsidRPr="00477502">
              <w:rPr>
                <w:rFonts w:asciiTheme="minorHAnsi" w:hAnsiTheme="minorHAnsi" w:cstheme="minorHAnsi"/>
                <w:lang w:val="de-CH"/>
              </w:rPr>
              <w:t>s</w:t>
            </w:r>
            <w:r w:rsidRPr="00477502">
              <w:rPr>
                <w:rFonts w:asciiTheme="minorHAnsi" w:hAnsiTheme="minorHAnsi" w:cstheme="minorHAnsi"/>
                <w:lang w:val="de-CH"/>
              </w:rPr>
              <w:t>land gelegene Niederlassungen von Schweizer Gegenparteien.</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343817" w:rsidP="007B711B">
            <w:pPr>
              <w:pStyle w:val="KeinLeerraum"/>
              <w:rPr>
                <w:rFonts w:asciiTheme="minorHAnsi" w:hAnsiTheme="minorHAnsi" w:cstheme="minorHAnsi"/>
                <w:lang w:val="de-CH"/>
              </w:rPr>
            </w:pPr>
            <w:r w:rsidRPr="00477502">
              <w:rPr>
                <w:rFonts w:asciiTheme="minorHAnsi" w:hAnsiTheme="minorHAnsi" w:cstheme="minorHAnsi"/>
                <w:lang w:val="de-CH"/>
              </w:rPr>
              <w:t>Gemäss Erläuterungsbericht (Seite 30) sollten solche Unterstellungsfälle die Ausnahme bilden. Laut den Erläuteru</w:t>
            </w:r>
            <w:r w:rsidRPr="00477502">
              <w:rPr>
                <w:rFonts w:asciiTheme="minorHAnsi" w:hAnsiTheme="minorHAnsi" w:cstheme="minorHAnsi"/>
                <w:lang w:val="de-CH"/>
              </w:rPr>
              <w:t>n</w:t>
            </w:r>
            <w:r w:rsidRPr="00477502">
              <w:rPr>
                <w:rFonts w:asciiTheme="minorHAnsi" w:hAnsiTheme="minorHAnsi" w:cstheme="minorHAnsi"/>
                <w:lang w:val="de-CH"/>
              </w:rPr>
              <w:t>gen könnte dieser seltene Fall eintreten, „</w:t>
            </w:r>
            <w:r w:rsidRPr="00477502">
              <w:rPr>
                <w:rFonts w:asciiTheme="minorHAnsi" w:hAnsiTheme="minorHAnsi" w:cstheme="minorHAnsi"/>
                <w:i/>
                <w:lang w:val="de-CH"/>
              </w:rPr>
              <w:t>wenn Transaktionen einer solchen Ni</w:t>
            </w:r>
            <w:r w:rsidRPr="00477502">
              <w:rPr>
                <w:rFonts w:asciiTheme="minorHAnsi" w:hAnsiTheme="minorHAnsi" w:cstheme="minorHAnsi"/>
                <w:i/>
                <w:lang w:val="de-CH"/>
              </w:rPr>
              <w:t>e</w:t>
            </w:r>
            <w:r w:rsidRPr="00477502">
              <w:rPr>
                <w:rFonts w:asciiTheme="minorHAnsi" w:hAnsiTheme="minorHAnsi" w:cstheme="minorHAnsi"/>
                <w:i/>
                <w:lang w:val="de-CH"/>
              </w:rPr>
              <w:t>derlassung einen direkten, vorhersehb</w:t>
            </w:r>
            <w:r w:rsidRPr="00477502">
              <w:rPr>
                <w:rFonts w:asciiTheme="minorHAnsi" w:hAnsiTheme="minorHAnsi" w:cstheme="minorHAnsi"/>
                <w:i/>
                <w:lang w:val="de-CH"/>
              </w:rPr>
              <w:t>a</w:t>
            </w:r>
            <w:r w:rsidRPr="00477502">
              <w:rPr>
                <w:rFonts w:asciiTheme="minorHAnsi" w:hAnsiTheme="minorHAnsi" w:cstheme="minorHAnsi"/>
                <w:i/>
                <w:lang w:val="de-CH"/>
              </w:rPr>
              <w:t>ren und wesentlichen Einfluss auf die Finanzstabilität in der Schweiz haben</w:t>
            </w:r>
            <w:r w:rsidRPr="00477502">
              <w:rPr>
                <w:rFonts w:asciiTheme="minorHAnsi" w:hAnsiTheme="minorHAnsi" w:cstheme="minorHAnsi"/>
                <w:lang w:val="de-CH"/>
              </w:rPr>
              <w:t>“. Bei dieser Konstellation dürfte ein al</w:t>
            </w:r>
            <w:r w:rsidRPr="00477502">
              <w:rPr>
                <w:rFonts w:asciiTheme="minorHAnsi" w:hAnsiTheme="minorHAnsi" w:cstheme="minorHAnsi"/>
                <w:lang w:val="de-CH"/>
              </w:rPr>
              <w:t>l</w:t>
            </w:r>
            <w:r w:rsidRPr="00477502">
              <w:rPr>
                <w:rFonts w:asciiTheme="minorHAnsi" w:hAnsiTheme="minorHAnsi" w:cstheme="minorHAnsi"/>
                <w:lang w:val="de-CH"/>
              </w:rPr>
              <w:t>gemeines Interesse am Unterstellung</w:t>
            </w:r>
            <w:r w:rsidRPr="00477502">
              <w:rPr>
                <w:rFonts w:asciiTheme="minorHAnsi" w:hAnsiTheme="minorHAnsi" w:cstheme="minorHAnsi"/>
                <w:lang w:val="de-CH"/>
              </w:rPr>
              <w:t>s</w:t>
            </w:r>
            <w:r w:rsidRPr="00477502">
              <w:rPr>
                <w:rFonts w:asciiTheme="minorHAnsi" w:hAnsiTheme="minorHAnsi" w:cstheme="minorHAnsi"/>
                <w:lang w:val="de-CH"/>
              </w:rPr>
              <w:t xml:space="preserve">entscheid bestehen. Gegebenenfalls wäre dieser Artikel um eine Bestimmung zur </w:t>
            </w:r>
            <w:r w:rsidR="007B711B" w:rsidRPr="00477502">
              <w:rPr>
                <w:rFonts w:asciiTheme="minorHAnsi" w:hAnsiTheme="minorHAnsi" w:cstheme="minorHAnsi"/>
                <w:lang w:val="de-CH"/>
              </w:rPr>
              <w:t xml:space="preserve">Publikation solcher Unterstellungen </w:t>
            </w:r>
            <w:r w:rsidRPr="00477502">
              <w:rPr>
                <w:rFonts w:asciiTheme="minorHAnsi" w:hAnsiTheme="minorHAnsi" w:cstheme="minorHAnsi"/>
                <w:lang w:val="de-CH"/>
              </w:rPr>
              <w:t xml:space="preserve">zu ergänzen. </w:t>
            </w:r>
          </w:p>
        </w:tc>
      </w:tr>
    </w:tbl>
    <w:p w:rsidR="00282D7A" w:rsidRDefault="00282D7A">
      <w:r>
        <w:br w:type="page"/>
      </w:r>
    </w:p>
    <w:tbl>
      <w:tblPr>
        <w:tblStyle w:val="Tabellenraster"/>
        <w:tblW w:w="0" w:type="auto"/>
        <w:tblLook w:val="04A0" w:firstRow="1" w:lastRow="0" w:firstColumn="1" w:lastColumn="0" w:noHBand="0" w:noVBand="1"/>
      </w:tblPr>
      <w:tblGrid>
        <w:gridCol w:w="4673"/>
        <w:gridCol w:w="4111"/>
        <w:gridCol w:w="3827"/>
      </w:tblGrid>
      <w:tr w:rsidR="00343817" w:rsidRPr="00E7264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lastRenderedPageBreak/>
              <w:t>Art. 77 Erfüllung von Pflichten unter ausländ</w:t>
            </w:r>
            <w:r w:rsidRPr="00477502">
              <w:rPr>
                <w:rFonts w:asciiTheme="minorHAnsi" w:hAnsiTheme="minorHAnsi" w:cstheme="minorHAnsi"/>
                <w:lang w:val="de-CH"/>
              </w:rPr>
              <w:t>i</w:t>
            </w:r>
            <w:r w:rsidRPr="00477502">
              <w:rPr>
                <w:rFonts w:asciiTheme="minorHAnsi" w:hAnsiTheme="minorHAnsi" w:cstheme="minorHAnsi"/>
                <w:lang w:val="de-CH"/>
              </w:rPr>
              <w:t>schem Recht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95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Die FINMA anerkennt ausländisches Recht als gleichwertig, wenn die Pflichten im Handel mit Derivaten und die Bestimmungen zur Aufsicht in den wesentlichen Wirkungen mit den schweizer</w:t>
            </w:r>
            <w:r w:rsidRPr="00477502">
              <w:rPr>
                <w:rFonts w:asciiTheme="minorHAnsi" w:hAnsiTheme="minorHAnsi" w:cstheme="minorHAnsi"/>
                <w:lang w:val="de-CH"/>
              </w:rPr>
              <w:t>i</w:t>
            </w:r>
            <w:r w:rsidRPr="00477502">
              <w:rPr>
                <w:rFonts w:asciiTheme="minorHAnsi" w:hAnsiTheme="minorHAnsi" w:cstheme="minorHAnsi"/>
                <w:lang w:val="de-CH"/>
              </w:rPr>
              <w:t>schen vergleichbar sind.</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w:t>
            </w:r>
          </w:p>
          <w:p w:rsidR="00343817" w:rsidRPr="00477502" w:rsidRDefault="00343817" w:rsidP="00343817">
            <w:pPr>
              <w:pStyle w:val="KeinLeerraum"/>
              <w:rPr>
                <w:rFonts w:asciiTheme="minorHAnsi" w:hAnsiTheme="minorHAnsi" w:cstheme="minorHAnsi"/>
                <w:lang w:val="de-CH"/>
              </w:rPr>
            </w:pP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343817" w:rsidP="007B711B">
            <w:pPr>
              <w:pStyle w:val="KeinLeerraum"/>
              <w:rPr>
                <w:rFonts w:asciiTheme="minorHAnsi" w:hAnsiTheme="minorHAnsi" w:cstheme="minorHAnsi"/>
                <w:lang w:val="de-CH"/>
              </w:rPr>
            </w:pPr>
            <w:r w:rsidRPr="00477502">
              <w:rPr>
                <w:rFonts w:asciiTheme="minorHAnsi" w:hAnsiTheme="minorHAnsi" w:cstheme="minorHAnsi"/>
                <w:lang w:val="de-CH"/>
              </w:rPr>
              <w:t>Die Marktteilnehmer habe</w:t>
            </w:r>
            <w:r w:rsidR="00825AE3">
              <w:rPr>
                <w:rFonts w:asciiTheme="minorHAnsi" w:hAnsiTheme="minorHAnsi" w:cstheme="minorHAnsi"/>
                <w:lang w:val="de-CH"/>
              </w:rPr>
              <w:t>n</w:t>
            </w:r>
            <w:r w:rsidRPr="00477502">
              <w:rPr>
                <w:rFonts w:asciiTheme="minorHAnsi" w:hAnsiTheme="minorHAnsi" w:cstheme="minorHAnsi"/>
                <w:lang w:val="de-CH"/>
              </w:rPr>
              <w:t xml:space="preserve"> ein Interesse daran zu erfahren, welche ausländ</w:t>
            </w:r>
            <w:r w:rsidRPr="00477502">
              <w:rPr>
                <w:rFonts w:asciiTheme="minorHAnsi" w:hAnsiTheme="minorHAnsi" w:cstheme="minorHAnsi"/>
                <w:lang w:val="de-CH"/>
              </w:rPr>
              <w:t>i</w:t>
            </w:r>
            <w:r w:rsidRPr="00477502">
              <w:rPr>
                <w:rFonts w:asciiTheme="minorHAnsi" w:hAnsiTheme="minorHAnsi" w:cstheme="minorHAnsi"/>
                <w:lang w:val="de-CH"/>
              </w:rPr>
              <w:t xml:space="preserve">schen Regelungen in Bezug auf den Handel mit Derivaten als gleichwertig anerkannt wurden. </w:t>
            </w:r>
            <w:r w:rsidR="007B711B" w:rsidRPr="00477502">
              <w:rPr>
                <w:rFonts w:asciiTheme="minorHAnsi" w:hAnsiTheme="minorHAnsi" w:cstheme="minorHAnsi"/>
                <w:lang w:val="de-CH"/>
              </w:rPr>
              <w:t>Wir empfehlen</w:t>
            </w:r>
            <w:r w:rsidRPr="00477502">
              <w:rPr>
                <w:rFonts w:asciiTheme="minorHAnsi" w:hAnsiTheme="minorHAnsi" w:cstheme="minorHAnsi"/>
                <w:lang w:val="de-CH"/>
              </w:rPr>
              <w:t xml:space="preserve"> somit eine Regelung bezüglich der Publikation einer solchen Liste aufzunehmen. </w:t>
            </w:r>
          </w:p>
        </w:tc>
      </w:tr>
      <w:tr w:rsidR="00343817" w:rsidRPr="00282D7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80 Währungsswaps und Währungsterming</w:t>
            </w:r>
            <w:r w:rsidRPr="00477502">
              <w:rPr>
                <w:rFonts w:asciiTheme="minorHAnsi" w:hAnsiTheme="minorHAnsi" w:cstheme="minorHAnsi"/>
                <w:lang w:val="de-CH"/>
              </w:rPr>
              <w:t>e</w:t>
            </w:r>
            <w:r w:rsidRPr="00477502">
              <w:rPr>
                <w:rFonts w:asciiTheme="minorHAnsi" w:hAnsiTheme="minorHAnsi" w:cstheme="minorHAnsi"/>
                <w:lang w:val="de-CH"/>
              </w:rPr>
              <w:t>schäfte</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101 Abs. 3, Art. 107 Abs. 2, Art. 113 Abs. 3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Als Währungsswaps und Währungsterming</w:t>
            </w:r>
            <w:r w:rsidRPr="00477502">
              <w:rPr>
                <w:rFonts w:asciiTheme="minorHAnsi" w:hAnsiTheme="minorHAnsi" w:cstheme="minorHAnsi"/>
                <w:lang w:val="de-CH"/>
              </w:rPr>
              <w:t>e</w:t>
            </w:r>
            <w:r w:rsidRPr="00477502">
              <w:rPr>
                <w:rFonts w:asciiTheme="minorHAnsi" w:hAnsiTheme="minorHAnsi" w:cstheme="minorHAnsi"/>
                <w:lang w:val="de-CH"/>
              </w:rPr>
              <w:t>schäfte, welche die von der Abrechnungspflicht (Art. 97 FinfraG), den Risikominderungspflichten (Art. 107–111 FinfraG) sowie der Handelspflicht (Art. 112 FinfraG) ausgenommen sind, gelten unabhängig von der jeweiligen Abwicklungsm</w:t>
            </w:r>
            <w:r w:rsidRPr="00477502">
              <w:rPr>
                <w:rFonts w:asciiTheme="minorHAnsi" w:hAnsiTheme="minorHAnsi" w:cstheme="minorHAnsi"/>
                <w:lang w:val="de-CH"/>
              </w:rPr>
              <w:t>e</w:t>
            </w:r>
            <w:r w:rsidRPr="00477502">
              <w:rPr>
                <w:rFonts w:asciiTheme="minorHAnsi" w:hAnsiTheme="minorHAnsi" w:cstheme="minorHAnsi"/>
                <w:lang w:val="de-CH"/>
              </w:rPr>
              <w:t>thode alle Geschäfte zum Austausch von Wä</w:t>
            </w:r>
            <w:r w:rsidRPr="00477502">
              <w:rPr>
                <w:rFonts w:asciiTheme="minorHAnsi" w:hAnsiTheme="minorHAnsi" w:cstheme="minorHAnsi"/>
                <w:lang w:val="de-CH"/>
              </w:rPr>
              <w:t>h</w:t>
            </w:r>
            <w:r w:rsidRPr="00477502">
              <w:rPr>
                <w:rFonts w:asciiTheme="minorHAnsi" w:hAnsiTheme="minorHAnsi" w:cstheme="minorHAnsi"/>
                <w:lang w:val="de-CH"/>
              </w:rPr>
              <w:t>rungen, bei denen ein realer Ausgleich gewäh</w:t>
            </w:r>
            <w:r w:rsidRPr="00477502">
              <w:rPr>
                <w:rFonts w:asciiTheme="minorHAnsi" w:hAnsiTheme="minorHAnsi" w:cstheme="minorHAnsi"/>
                <w:lang w:val="de-CH"/>
              </w:rPr>
              <w:t>r</w:t>
            </w:r>
            <w:r w:rsidRPr="00477502">
              <w:rPr>
                <w:rFonts w:asciiTheme="minorHAnsi" w:hAnsiTheme="minorHAnsi" w:cstheme="minorHAnsi"/>
                <w:lang w:val="de-CH"/>
              </w:rPr>
              <w:t>leistet ist.</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Als Währungsswaps und Währungstermi</w:t>
            </w:r>
            <w:r w:rsidRPr="00477502">
              <w:rPr>
                <w:rFonts w:asciiTheme="minorHAnsi" w:hAnsiTheme="minorHAnsi" w:cstheme="minorHAnsi"/>
                <w:lang w:val="de-CH"/>
              </w:rPr>
              <w:t>n</w:t>
            </w:r>
            <w:r w:rsidRPr="00477502">
              <w:rPr>
                <w:rFonts w:asciiTheme="minorHAnsi" w:hAnsiTheme="minorHAnsi" w:cstheme="minorHAnsi"/>
                <w:lang w:val="de-CH"/>
              </w:rPr>
              <w:t xml:space="preserve">geschäfte, welche </w:t>
            </w:r>
            <w:r w:rsidRPr="00477502">
              <w:rPr>
                <w:rFonts w:asciiTheme="minorHAnsi" w:hAnsiTheme="minorHAnsi" w:cstheme="minorHAnsi"/>
                <w:b/>
                <w:strike/>
                <w:lang w:val="de-CH"/>
              </w:rPr>
              <w:t>die</w:t>
            </w:r>
            <w:r w:rsidRPr="00477502">
              <w:rPr>
                <w:rFonts w:asciiTheme="minorHAnsi" w:hAnsiTheme="minorHAnsi" w:cstheme="minorHAnsi"/>
                <w:lang w:val="de-CH"/>
              </w:rPr>
              <w:t xml:space="preserve"> von der Abrec</w:t>
            </w:r>
            <w:r w:rsidRPr="00477502">
              <w:rPr>
                <w:rFonts w:asciiTheme="minorHAnsi" w:hAnsiTheme="minorHAnsi" w:cstheme="minorHAnsi"/>
                <w:lang w:val="de-CH"/>
              </w:rPr>
              <w:t>h</w:t>
            </w:r>
            <w:r w:rsidRPr="00477502">
              <w:rPr>
                <w:rFonts w:asciiTheme="minorHAnsi" w:hAnsiTheme="minorHAnsi" w:cstheme="minorHAnsi"/>
                <w:lang w:val="de-CH"/>
              </w:rPr>
              <w:t>nungspflicht (Art. 97 FinfraG), den Risiko</w:t>
            </w:r>
            <w:r w:rsidR="003B1C48">
              <w:rPr>
                <w:rFonts w:asciiTheme="minorHAnsi" w:hAnsiTheme="minorHAnsi" w:cstheme="minorHAnsi"/>
                <w:lang w:val="de-CH"/>
              </w:rPr>
              <w:t>-</w:t>
            </w:r>
            <w:r w:rsidRPr="00477502">
              <w:rPr>
                <w:rFonts w:asciiTheme="minorHAnsi" w:hAnsiTheme="minorHAnsi" w:cstheme="minorHAnsi"/>
                <w:lang w:val="de-CH"/>
              </w:rPr>
              <w:t xml:space="preserve">minderungspflichten (Art. 107–111 FinfraG) sowie der Handelspflicht (Art. 112 FinfraG) ausgenommen sind, gelten unabhängig von der jeweiligen Abwicklungsmethode alle Geschäfte zum Austausch von Währungen, bei denen ein realer </w:t>
            </w:r>
            <w:r w:rsidRPr="00477502">
              <w:rPr>
                <w:rFonts w:asciiTheme="minorHAnsi" w:hAnsiTheme="minorHAnsi" w:cstheme="minorHAnsi"/>
                <w:b/>
                <w:lang w:val="de-CH"/>
              </w:rPr>
              <w:t>Austausch</w:t>
            </w:r>
            <w:r w:rsidRPr="00477502">
              <w:rPr>
                <w:rFonts w:asciiTheme="minorHAnsi" w:hAnsiTheme="minorHAnsi" w:cstheme="minorHAnsi"/>
                <w:lang w:val="de-CH"/>
              </w:rPr>
              <w:t xml:space="preserve"> gewäh</w:t>
            </w:r>
            <w:r w:rsidRPr="00477502">
              <w:rPr>
                <w:rFonts w:asciiTheme="minorHAnsi" w:hAnsiTheme="minorHAnsi" w:cstheme="minorHAnsi"/>
                <w:lang w:val="de-CH"/>
              </w:rPr>
              <w:t>r</w:t>
            </w:r>
            <w:r w:rsidRPr="00477502">
              <w:rPr>
                <w:rFonts w:asciiTheme="minorHAnsi" w:hAnsiTheme="minorHAnsi" w:cstheme="minorHAnsi"/>
                <w:lang w:val="de-CH"/>
              </w:rPr>
              <w:t xml:space="preserve">leistet ist. </w:t>
            </w:r>
          </w:p>
        </w:tc>
        <w:tc>
          <w:tcPr>
            <w:tcW w:w="3827"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Für den gegenseitigen tatsächlichen Transfer der Währung ist der Begriff „Austausch“ präziser.</w:t>
            </w:r>
          </w:p>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color w:val="000000" w:themeColor="text1"/>
                <w:lang w:val="de-CH"/>
              </w:rPr>
              <w:t>Wir regen an klar zu stellen, dass „Zug um Zug“ (zeitlicher Aspekt) nicht das Gleiche ist wie „payment versus pa</w:t>
            </w:r>
            <w:r w:rsidRPr="00477502">
              <w:rPr>
                <w:rFonts w:asciiTheme="minorHAnsi" w:hAnsiTheme="minorHAnsi" w:cstheme="minorHAnsi"/>
                <w:color w:val="000000" w:themeColor="text1"/>
                <w:lang w:val="de-CH"/>
              </w:rPr>
              <w:t>y</w:t>
            </w:r>
            <w:r w:rsidRPr="00477502">
              <w:rPr>
                <w:rFonts w:asciiTheme="minorHAnsi" w:hAnsiTheme="minorHAnsi" w:cstheme="minorHAnsi"/>
                <w:color w:val="000000" w:themeColor="text1"/>
                <w:lang w:val="de-CH"/>
              </w:rPr>
              <w:t>ment“ (inhaltlicher Aspekt). Sofern beide Aspekte (inhaltlich und zeitlich) präferiert werden sollten, sollte das ausdrücklich erwähnt werden.</w:t>
            </w:r>
          </w:p>
        </w:tc>
      </w:tr>
      <w:tr w:rsidR="00343817" w:rsidRPr="00282D7A" w:rsidTr="0082313C">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Abschnitt: Abrechnung über eine zentrale G</w:t>
            </w:r>
            <w:r w:rsidRPr="00477502">
              <w:rPr>
                <w:rFonts w:asciiTheme="minorHAnsi" w:hAnsiTheme="minorHAnsi" w:cstheme="minorHAnsi"/>
                <w:lang w:val="de-CH"/>
              </w:rPr>
              <w:t>e</w:t>
            </w:r>
            <w:r w:rsidRPr="00477502">
              <w:rPr>
                <w:rFonts w:asciiTheme="minorHAnsi" w:hAnsiTheme="minorHAnsi" w:cstheme="minorHAnsi"/>
                <w:lang w:val="de-CH"/>
              </w:rPr>
              <w:t>genpartei</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E7264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84 Schwellenwerte</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100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Für die Durchschnittsbruttoposition aller ausst</w:t>
            </w:r>
            <w:r w:rsidRPr="00477502">
              <w:rPr>
                <w:rFonts w:asciiTheme="minorHAnsi" w:hAnsiTheme="minorHAnsi" w:cstheme="minorHAnsi"/>
                <w:lang w:val="de-CH"/>
              </w:rPr>
              <w:t>e</w:t>
            </w:r>
            <w:r w:rsidRPr="00477502">
              <w:rPr>
                <w:rFonts w:asciiTheme="minorHAnsi" w:hAnsiTheme="minorHAnsi" w:cstheme="minorHAnsi"/>
                <w:lang w:val="de-CH"/>
              </w:rPr>
              <w:t>henden OTC-Derivatgeschäfte von Finanziellen Gegenparteien gilt ein Schwellenwert von 8 Mill</w:t>
            </w:r>
            <w:r w:rsidRPr="00477502">
              <w:rPr>
                <w:rFonts w:asciiTheme="minorHAnsi" w:hAnsiTheme="minorHAnsi" w:cstheme="minorHAnsi"/>
                <w:lang w:val="de-CH"/>
              </w:rPr>
              <w:t>i</w:t>
            </w:r>
            <w:r w:rsidRPr="00477502">
              <w:rPr>
                <w:rFonts w:asciiTheme="minorHAnsi" w:hAnsiTheme="minorHAnsi" w:cstheme="minorHAnsi"/>
                <w:lang w:val="de-CH"/>
              </w:rPr>
              <w:t>arden Franken auf Stufe Finanzgruppe.</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7B711B" w:rsidP="007B711B">
            <w:pPr>
              <w:pStyle w:val="KeinLeerraum"/>
              <w:rPr>
                <w:rFonts w:asciiTheme="minorHAnsi" w:hAnsiTheme="minorHAnsi" w:cstheme="minorHAnsi"/>
                <w:lang w:val="de-CH"/>
              </w:rPr>
            </w:pPr>
            <w:r w:rsidRPr="00477502">
              <w:rPr>
                <w:rFonts w:asciiTheme="minorHAnsi" w:hAnsiTheme="minorHAnsi" w:cstheme="minorHAnsi"/>
                <w:color w:val="000000" w:themeColor="text1"/>
                <w:lang w:val="de-CH"/>
              </w:rPr>
              <w:t>Wir empfehlen</w:t>
            </w:r>
            <w:r w:rsidR="00343817" w:rsidRPr="00477502">
              <w:rPr>
                <w:rFonts w:asciiTheme="minorHAnsi" w:hAnsiTheme="minorHAnsi" w:cstheme="minorHAnsi"/>
                <w:color w:val="000000" w:themeColor="text1"/>
                <w:lang w:val="de-CH"/>
              </w:rPr>
              <w:t xml:space="preserve"> klar</w:t>
            </w:r>
            <w:r w:rsidRPr="00477502">
              <w:rPr>
                <w:rFonts w:asciiTheme="minorHAnsi" w:hAnsiTheme="minorHAnsi" w:cstheme="minorHAnsi"/>
                <w:color w:val="000000" w:themeColor="text1"/>
                <w:lang w:val="de-CH"/>
              </w:rPr>
              <w:t>zu</w:t>
            </w:r>
            <w:r w:rsidR="00825AE3">
              <w:rPr>
                <w:rFonts w:asciiTheme="minorHAnsi" w:hAnsiTheme="minorHAnsi" w:cstheme="minorHAnsi"/>
                <w:color w:val="000000" w:themeColor="text1"/>
                <w:lang w:val="de-CH"/>
              </w:rPr>
              <w:t>stellen</w:t>
            </w:r>
            <w:r w:rsidR="00343817" w:rsidRPr="00477502">
              <w:rPr>
                <w:rFonts w:asciiTheme="minorHAnsi" w:hAnsiTheme="minorHAnsi" w:cstheme="minorHAnsi"/>
                <w:color w:val="000000" w:themeColor="text1"/>
                <w:lang w:val="de-CH"/>
              </w:rPr>
              <w:t>, ob der Begriff „Finanzgruppe“ sich nur auf Gruppen bezieht, die von der FINMA konsolidiert überwacht werden und in der Schweiz primär domiziliert sind, oder auf Gruppen, die in der Schweiz ledi</w:t>
            </w:r>
            <w:r w:rsidR="00343817" w:rsidRPr="00477502">
              <w:rPr>
                <w:rFonts w:asciiTheme="minorHAnsi" w:hAnsiTheme="minorHAnsi" w:cstheme="minorHAnsi"/>
                <w:color w:val="000000" w:themeColor="text1"/>
                <w:lang w:val="de-CH"/>
              </w:rPr>
              <w:t>g</w:t>
            </w:r>
            <w:r w:rsidR="00343817" w:rsidRPr="00477502">
              <w:rPr>
                <w:rFonts w:asciiTheme="minorHAnsi" w:hAnsiTheme="minorHAnsi" w:cstheme="minorHAnsi"/>
                <w:color w:val="000000" w:themeColor="text1"/>
                <w:lang w:val="de-CH"/>
              </w:rPr>
              <w:t>lich eine Gruppengesellschaft haben.</w:t>
            </w:r>
          </w:p>
        </w:tc>
      </w:tr>
    </w:tbl>
    <w:p w:rsidR="00282D7A" w:rsidRDefault="00282D7A">
      <w:r>
        <w:br w:type="page"/>
      </w:r>
    </w:p>
    <w:tbl>
      <w:tblPr>
        <w:tblStyle w:val="Tabellenraster"/>
        <w:tblW w:w="0" w:type="auto"/>
        <w:tblLook w:val="04A0" w:firstRow="1" w:lastRow="0" w:firstColumn="1" w:lastColumn="0" w:noHBand="0" w:noVBand="1"/>
      </w:tblPr>
      <w:tblGrid>
        <w:gridCol w:w="4673"/>
        <w:gridCol w:w="4111"/>
        <w:gridCol w:w="3827"/>
      </w:tblGrid>
      <w:tr w:rsidR="00343817" w:rsidRPr="00E7264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lastRenderedPageBreak/>
              <w:t>Art. 85 Durchschnittsbruttoposition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100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E23EC2"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e. Die einem Absicherungsgeschäft in der Kette nachfolgenden Geschäfte gelgelten ebenfalls als Absicherungsgeschäfte.</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e. Die einem Absicherungsgeschäft in der Kette nachfolgenden Geschäfte </w:t>
            </w:r>
            <w:r w:rsidRPr="00477502">
              <w:rPr>
                <w:rFonts w:asciiTheme="minorHAnsi" w:hAnsiTheme="minorHAnsi" w:cstheme="minorHAnsi"/>
                <w:b/>
                <w:strike/>
                <w:lang w:val="de-CH"/>
              </w:rPr>
              <w:t>gel</w:t>
            </w:r>
            <w:r w:rsidRPr="00477502">
              <w:rPr>
                <w:rFonts w:asciiTheme="minorHAnsi" w:hAnsiTheme="minorHAnsi" w:cstheme="minorHAnsi"/>
                <w:lang w:val="de-CH"/>
              </w:rPr>
              <w:t>gelten ebenfalls als Absicherungsgeschäfte.</w:t>
            </w:r>
          </w:p>
        </w:tc>
        <w:tc>
          <w:tcPr>
            <w:tcW w:w="3827" w:type="dxa"/>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Typo</w:t>
            </w:r>
          </w:p>
        </w:tc>
      </w:tr>
      <w:tr w:rsidR="00343817" w:rsidRPr="00282D7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86 Grenzüberschreitende Geschäfte</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94 Abs. 2 und Art. 102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6F6A69"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Es muss bei grenzüberschreitenden Geschäften nicht über eine zentrale Gegenpartei abgerechnet werden, sofern die ausländische Gegenpartei:</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ihren Sitz in einem Staat hat, dessen Recht von der FINMA als gleichwertig anerkannt worden ist; und</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b. nach dem Recht dieses Staat nicht abrec</w:t>
            </w:r>
            <w:r w:rsidRPr="00477502">
              <w:rPr>
                <w:rFonts w:asciiTheme="minorHAnsi" w:hAnsiTheme="minorHAnsi" w:cstheme="minorHAnsi"/>
                <w:lang w:val="de-CH"/>
              </w:rPr>
              <w:t>h</w:t>
            </w:r>
            <w:r w:rsidRPr="00477502">
              <w:rPr>
                <w:rFonts w:asciiTheme="minorHAnsi" w:hAnsiTheme="minorHAnsi" w:cstheme="minorHAnsi"/>
                <w:lang w:val="de-CH"/>
              </w:rPr>
              <w:t>nungspflichtig ist.</w:t>
            </w:r>
          </w:p>
        </w:tc>
        <w:tc>
          <w:tcPr>
            <w:tcW w:w="4111" w:type="dxa"/>
            <w:shd w:val="clear" w:color="auto" w:fill="auto"/>
          </w:tcPr>
          <w:p w:rsidR="00343817" w:rsidRDefault="00343817" w:rsidP="00343817">
            <w:pPr>
              <w:pStyle w:val="KeinLeerraum"/>
              <w:rPr>
                <w:rFonts w:asciiTheme="minorHAnsi" w:hAnsiTheme="minorHAnsi" w:cstheme="minorHAnsi"/>
                <w:lang w:val="de-CH"/>
              </w:rPr>
            </w:pPr>
          </w:p>
          <w:p w:rsidR="00825AE3" w:rsidRDefault="00825AE3" w:rsidP="00343817">
            <w:pPr>
              <w:pStyle w:val="KeinLeerraum"/>
              <w:rPr>
                <w:rFonts w:asciiTheme="minorHAnsi" w:hAnsiTheme="minorHAnsi" w:cstheme="minorHAnsi"/>
                <w:lang w:val="de-CH"/>
              </w:rPr>
            </w:pPr>
          </w:p>
          <w:p w:rsidR="00825AE3" w:rsidRDefault="00825AE3" w:rsidP="00343817">
            <w:pPr>
              <w:pStyle w:val="KeinLeerraum"/>
              <w:rPr>
                <w:rFonts w:asciiTheme="minorHAnsi" w:hAnsiTheme="minorHAnsi" w:cstheme="minorHAnsi"/>
                <w:lang w:val="de-CH"/>
              </w:rPr>
            </w:pPr>
          </w:p>
          <w:p w:rsidR="00825AE3" w:rsidRDefault="00825AE3" w:rsidP="00343817">
            <w:pPr>
              <w:pStyle w:val="KeinLeerraum"/>
              <w:rPr>
                <w:rFonts w:asciiTheme="minorHAnsi" w:hAnsiTheme="minorHAnsi" w:cstheme="minorHAnsi"/>
                <w:lang w:val="de-CH"/>
              </w:rPr>
            </w:pPr>
          </w:p>
          <w:p w:rsidR="00825AE3" w:rsidRDefault="00825AE3" w:rsidP="00343817">
            <w:pPr>
              <w:pStyle w:val="KeinLeerraum"/>
              <w:rPr>
                <w:rFonts w:asciiTheme="minorHAnsi" w:hAnsiTheme="minorHAnsi" w:cstheme="minorHAnsi"/>
                <w:lang w:val="de-CH"/>
              </w:rPr>
            </w:pPr>
          </w:p>
          <w:p w:rsidR="00825AE3" w:rsidRDefault="00825AE3" w:rsidP="00343817">
            <w:pPr>
              <w:pStyle w:val="KeinLeerraum"/>
              <w:rPr>
                <w:rFonts w:asciiTheme="minorHAnsi" w:hAnsiTheme="minorHAnsi" w:cstheme="minorHAnsi"/>
                <w:lang w:val="de-CH"/>
              </w:rPr>
            </w:pPr>
          </w:p>
          <w:p w:rsidR="00825AE3" w:rsidRPr="00825AE3" w:rsidRDefault="00825AE3" w:rsidP="00343817">
            <w:pPr>
              <w:pStyle w:val="KeinLeerraum"/>
              <w:rPr>
                <w:rFonts w:asciiTheme="minorHAnsi" w:hAnsiTheme="minorHAnsi" w:cstheme="minorHAnsi"/>
                <w:lang w:val="de-CH"/>
              </w:rPr>
            </w:pPr>
            <w:r>
              <w:rPr>
                <w:rFonts w:asciiTheme="minorHAnsi" w:hAnsiTheme="minorHAnsi" w:cstheme="minorHAnsi"/>
                <w:lang w:val="de-CH"/>
              </w:rPr>
              <w:t>b. nach dem Recht dieses Staat</w:t>
            </w:r>
            <w:r w:rsidRPr="00825AE3">
              <w:rPr>
                <w:rFonts w:asciiTheme="minorHAnsi" w:hAnsiTheme="minorHAnsi" w:cstheme="minorHAnsi"/>
                <w:b/>
                <w:lang w:val="de-CH"/>
              </w:rPr>
              <w:t>es</w:t>
            </w:r>
            <w:r>
              <w:rPr>
                <w:rFonts w:asciiTheme="minorHAnsi" w:hAnsiTheme="minorHAnsi" w:cstheme="minorHAnsi"/>
                <w:b/>
                <w:lang w:val="de-CH"/>
              </w:rPr>
              <w:t xml:space="preserve"> </w:t>
            </w:r>
            <w:r>
              <w:rPr>
                <w:rFonts w:asciiTheme="minorHAnsi" w:hAnsiTheme="minorHAnsi" w:cstheme="minorHAnsi"/>
                <w:lang w:val="de-CH"/>
              </w:rPr>
              <w:t>nicht abrechnungspflichtig ist.</w:t>
            </w:r>
          </w:p>
        </w:tc>
        <w:tc>
          <w:tcPr>
            <w:tcW w:w="3827" w:type="dxa"/>
          </w:tcPr>
          <w:p w:rsidR="00343817"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Vgl. bezüglich der als gleichwertig ane</w:t>
            </w:r>
            <w:r w:rsidRPr="00477502">
              <w:rPr>
                <w:rFonts w:asciiTheme="minorHAnsi" w:hAnsiTheme="minorHAnsi" w:cstheme="minorHAnsi"/>
                <w:lang w:val="de-CH"/>
              </w:rPr>
              <w:t>r</w:t>
            </w:r>
            <w:r w:rsidRPr="00477502">
              <w:rPr>
                <w:rFonts w:asciiTheme="minorHAnsi" w:hAnsiTheme="minorHAnsi" w:cstheme="minorHAnsi"/>
                <w:lang w:val="de-CH"/>
              </w:rPr>
              <w:t>kannten ausländischen Regelung die Bemerkung zu E-Art. 77.</w:t>
            </w:r>
          </w:p>
          <w:p w:rsidR="00825AE3" w:rsidRDefault="00825AE3" w:rsidP="00343817">
            <w:pPr>
              <w:pStyle w:val="KeinLeerraum"/>
              <w:rPr>
                <w:rFonts w:asciiTheme="minorHAnsi" w:hAnsiTheme="minorHAnsi" w:cstheme="minorHAnsi"/>
                <w:lang w:val="de-CH"/>
              </w:rPr>
            </w:pPr>
          </w:p>
          <w:p w:rsidR="00825AE3" w:rsidRPr="00477502" w:rsidRDefault="00825AE3"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p>
          <w:p w:rsidR="00343817" w:rsidRPr="00477502" w:rsidRDefault="00825AE3" w:rsidP="00343817">
            <w:pPr>
              <w:pStyle w:val="KeinLeerraum"/>
              <w:rPr>
                <w:rFonts w:asciiTheme="minorHAnsi" w:hAnsiTheme="minorHAnsi" w:cstheme="minorHAnsi"/>
                <w:lang w:val="de-CH"/>
              </w:rPr>
            </w:pPr>
            <w:r>
              <w:rPr>
                <w:rFonts w:asciiTheme="minorHAnsi" w:hAnsiTheme="minorHAnsi" w:cstheme="minorHAnsi"/>
                <w:lang w:val="de-CH"/>
              </w:rPr>
              <w:t>Grammatikalisch besser.</w:t>
            </w:r>
          </w:p>
          <w:p w:rsidR="00343817" w:rsidRPr="00477502" w:rsidRDefault="00343817" w:rsidP="00343817">
            <w:pPr>
              <w:pStyle w:val="KeinLeerraum"/>
              <w:rPr>
                <w:rFonts w:asciiTheme="minorHAnsi" w:hAnsiTheme="minorHAnsi" w:cstheme="minorHAnsi"/>
                <w:lang w:val="de-CH"/>
              </w:rPr>
            </w:pPr>
          </w:p>
        </w:tc>
      </w:tr>
      <w:tr w:rsidR="00343817" w:rsidRPr="00E7264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4. Abschnitt: Risikominderung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92 Bestätigung der Vertragsbedingungen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108 Bst. a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 </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Nach 16 Uhr abgeschlossene OTC-Derivatgeschäfte sind spätestens am übernäch</w:t>
            </w:r>
            <w:r w:rsidRPr="00477502">
              <w:rPr>
                <w:rFonts w:asciiTheme="minorHAnsi" w:hAnsiTheme="minorHAnsi" w:cstheme="minorHAnsi"/>
                <w:lang w:val="de-CH"/>
              </w:rPr>
              <w:t>s</w:t>
            </w:r>
            <w:r w:rsidRPr="00477502">
              <w:rPr>
                <w:rFonts w:asciiTheme="minorHAnsi" w:hAnsiTheme="minorHAnsi" w:cstheme="minorHAnsi"/>
                <w:lang w:val="de-CH"/>
              </w:rPr>
              <w:t xml:space="preserve">ten Geschäftstag zu bestätigen </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3 ……</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4 Die Gegenparteien können vereinbaren, dass ein OTC-Derivatgeschäft auch dann als bestätigt gilt, wenn eine von ihnen auf die Bestätigung ke</w:t>
            </w:r>
            <w:r w:rsidRPr="00477502">
              <w:rPr>
                <w:rFonts w:asciiTheme="minorHAnsi" w:hAnsiTheme="minorHAnsi" w:cstheme="minorHAnsi"/>
                <w:lang w:val="de-CH"/>
              </w:rPr>
              <w:t>i</w:t>
            </w:r>
            <w:r w:rsidRPr="00477502">
              <w:rPr>
                <w:rFonts w:asciiTheme="minorHAnsi" w:hAnsiTheme="minorHAnsi" w:cstheme="minorHAnsi"/>
                <w:lang w:val="de-CH"/>
              </w:rPr>
              <w:t>nen Widerspruch erhebt.</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Nach 16 Uhr abgeschlossene OTC-Derivatgeschäfte sind spätestens am übe</w:t>
            </w:r>
            <w:r w:rsidRPr="00477502">
              <w:rPr>
                <w:rFonts w:asciiTheme="minorHAnsi" w:hAnsiTheme="minorHAnsi" w:cstheme="minorHAnsi"/>
                <w:lang w:val="de-CH"/>
              </w:rPr>
              <w:t>r</w:t>
            </w:r>
            <w:r w:rsidRPr="00477502">
              <w:rPr>
                <w:rFonts w:asciiTheme="minorHAnsi" w:hAnsiTheme="minorHAnsi" w:cstheme="minorHAnsi"/>
                <w:lang w:val="de-CH"/>
              </w:rPr>
              <w:t>nächsten Geschäftstag zu bestätigen</w:t>
            </w:r>
            <w:r w:rsidRPr="00477502">
              <w:rPr>
                <w:rFonts w:asciiTheme="minorHAnsi" w:hAnsiTheme="minorHAnsi" w:cstheme="minorHAnsi"/>
                <w:b/>
                <w:u w:val="single"/>
                <w:lang w:val="de-CH"/>
              </w:rPr>
              <w:t>.</w:t>
            </w:r>
            <w:r w:rsidRPr="00477502">
              <w:rPr>
                <w:rFonts w:asciiTheme="minorHAnsi" w:hAnsiTheme="minorHAnsi" w:cstheme="minorHAnsi"/>
                <w:b/>
                <w:lang w:val="de-CH"/>
              </w:rPr>
              <w:t xml:space="preserve"> </w:t>
            </w:r>
          </w:p>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4 Die Gegenparteien können vereinbaren, dass ein OTC-Derivatgeschäft auch dann als bestätigt gilt, wenn eine von ihnen auf die Bestätigung </w:t>
            </w:r>
            <w:r w:rsidRPr="00477502">
              <w:rPr>
                <w:rFonts w:asciiTheme="minorHAnsi" w:hAnsiTheme="minorHAnsi" w:cstheme="minorHAnsi"/>
                <w:b/>
                <w:lang w:val="de-CH"/>
              </w:rPr>
              <w:t xml:space="preserve">hin </w:t>
            </w:r>
            <w:r w:rsidRPr="00477502">
              <w:rPr>
                <w:rFonts w:asciiTheme="minorHAnsi" w:hAnsiTheme="minorHAnsi" w:cstheme="minorHAnsi"/>
                <w:lang w:val="de-CH"/>
              </w:rPr>
              <w:t xml:space="preserve">keinen Widerspruch erhebt. </w:t>
            </w:r>
          </w:p>
        </w:tc>
        <w:tc>
          <w:tcPr>
            <w:tcW w:w="3827" w:type="dxa"/>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p>
        </w:tc>
      </w:tr>
      <w:tr w:rsidR="00343817" w:rsidRPr="00DF60DD"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101 Zulässige Sicherheiten für Ersteinschuss- und Nachschusszahlung</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110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Zulässige Sicherheiten sind:</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Bareinlagen bei der kreditgebenden Bank, ei</w:t>
            </w:r>
            <w:r w:rsidRPr="00477502">
              <w:rPr>
                <w:rFonts w:asciiTheme="minorHAnsi" w:hAnsiTheme="minorHAnsi" w:cstheme="minorHAnsi"/>
                <w:lang w:val="de-CH"/>
              </w:rPr>
              <w:t>n</w:t>
            </w:r>
            <w:r w:rsidRPr="00477502">
              <w:rPr>
                <w:rFonts w:asciiTheme="minorHAnsi" w:hAnsiTheme="minorHAnsi" w:cstheme="minorHAnsi"/>
                <w:lang w:val="de-CH"/>
              </w:rPr>
              <w:t>schliesslich Kassenobligationen oder vergleichb</w:t>
            </w:r>
            <w:r w:rsidRPr="00477502">
              <w:rPr>
                <w:rFonts w:asciiTheme="minorHAnsi" w:hAnsiTheme="minorHAnsi" w:cstheme="minorHAnsi"/>
                <w:lang w:val="de-CH"/>
              </w:rPr>
              <w:t>a</w:t>
            </w:r>
            <w:r w:rsidRPr="00477502">
              <w:rPr>
                <w:rFonts w:asciiTheme="minorHAnsi" w:hAnsiTheme="minorHAnsi" w:cstheme="minorHAnsi"/>
                <w:lang w:val="de-CH"/>
              </w:rPr>
              <w:t>re Instrumente, die von der kreditgebenden Bank emittiert wurden;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b. hochwertige Schuldverschreibungen, die von einer Zentralregierung, einer</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lastRenderedPageBreak/>
              <w:t>Zentralbank, einer öffentlich-rechtlichen Körpe</w:t>
            </w:r>
            <w:r w:rsidRPr="00477502">
              <w:rPr>
                <w:rFonts w:asciiTheme="minorHAnsi" w:hAnsiTheme="minorHAnsi" w:cstheme="minorHAnsi"/>
                <w:lang w:val="de-CH"/>
              </w:rPr>
              <w:t>r</w:t>
            </w:r>
            <w:r w:rsidRPr="00477502">
              <w:rPr>
                <w:rFonts w:asciiTheme="minorHAnsi" w:hAnsiTheme="minorHAnsi" w:cstheme="minorHAnsi"/>
                <w:lang w:val="de-CH"/>
              </w:rPr>
              <w:t>schaft mit dem Recht zur Erhebung von Steuern, der Bank für Internationalen Zahlungsausgleich, dem Internationalem Währungsfonds, dem Eur</w:t>
            </w:r>
            <w:r w:rsidRPr="00477502">
              <w:rPr>
                <w:rFonts w:asciiTheme="minorHAnsi" w:hAnsiTheme="minorHAnsi" w:cstheme="minorHAnsi"/>
                <w:lang w:val="de-CH"/>
              </w:rPr>
              <w:t>o</w:t>
            </w:r>
            <w:r w:rsidRPr="00477502">
              <w:rPr>
                <w:rFonts w:asciiTheme="minorHAnsi" w:hAnsiTheme="minorHAnsi" w:cstheme="minorHAnsi"/>
                <w:lang w:val="de-CH"/>
              </w:rPr>
              <w:t>päischen Stabilitätsmechanismus und Multilater</w:t>
            </w:r>
            <w:r w:rsidRPr="00477502">
              <w:rPr>
                <w:rFonts w:asciiTheme="minorHAnsi" w:hAnsiTheme="minorHAnsi" w:cstheme="minorHAnsi"/>
                <w:lang w:val="de-CH"/>
              </w:rPr>
              <w:t>a</w:t>
            </w:r>
            <w:r w:rsidRPr="00477502">
              <w:rPr>
                <w:rFonts w:asciiTheme="minorHAnsi" w:hAnsiTheme="minorHAnsi" w:cstheme="minorHAnsi"/>
                <w:lang w:val="de-CH"/>
              </w:rPr>
              <w:t>len Entwicklungsbanken emittiert wurden;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c. hochwertige Schuldverschreibungen von U</w:t>
            </w:r>
            <w:r w:rsidRPr="00477502">
              <w:rPr>
                <w:rFonts w:asciiTheme="minorHAnsi" w:hAnsiTheme="minorHAnsi" w:cstheme="minorHAnsi"/>
                <w:lang w:val="de-CH"/>
              </w:rPr>
              <w:t>n</w:t>
            </w:r>
            <w:r w:rsidRPr="00477502">
              <w:rPr>
                <w:rFonts w:asciiTheme="minorHAnsi" w:hAnsiTheme="minorHAnsi" w:cstheme="minorHAnsi"/>
                <w:lang w:val="de-CH"/>
              </w:rPr>
              <w:t>ternehmen;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d. hochwertige Pfandbriefe und gedeckte Schul</w:t>
            </w:r>
            <w:r w:rsidRPr="00477502">
              <w:rPr>
                <w:rFonts w:asciiTheme="minorHAnsi" w:hAnsiTheme="minorHAnsi" w:cstheme="minorHAnsi"/>
                <w:lang w:val="de-CH"/>
              </w:rPr>
              <w:t>d</w:t>
            </w:r>
            <w:r w:rsidRPr="00477502">
              <w:rPr>
                <w:rFonts w:asciiTheme="minorHAnsi" w:hAnsiTheme="minorHAnsi" w:cstheme="minorHAnsi"/>
                <w:lang w:val="de-CH"/>
              </w:rPr>
              <w:t>verschreibungen;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e. Aktien eines Hauptindexes gemäss Artikel 4 Buchstabe b ERV einschliesslich Wandelanle</w:t>
            </w:r>
            <w:r w:rsidRPr="00477502">
              <w:rPr>
                <w:rFonts w:asciiTheme="minorHAnsi" w:hAnsiTheme="minorHAnsi" w:cstheme="minorHAnsi"/>
                <w:lang w:val="de-CH"/>
              </w:rPr>
              <w:t>i</w:t>
            </w:r>
            <w:r w:rsidRPr="00477502">
              <w:rPr>
                <w:rFonts w:asciiTheme="minorHAnsi" w:hAnsiTheme="minorHAnsi" w:cstheme="minorHAnsi"/>
                <w:lang w:val="de-CH"/>
              </w:rPr>
              <w:t>hen;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f. Gold.</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Hochwertig sind Sicherheiten, die hochliquide sind, eine hohe Wertbeständigkeit auch in einer Stressperiode aufweisen und innerhalb einer a</w:t>
            </w:r>
            <w:r w:rsidRPr="00477502">
              <w:rPr>
                <w:rFonts w:asciiTheme="minorHAnsi" w:hAnsiTheme="minorHAnsi" w:cstheme="minorHAnsi"/>
                <w:lang w:val="de-CH"/>
              </w:rPr>
              <w:t>n</w:t>
            </w:r>
            <w:r w:rsidRPr="00477502">
              <w:rPr>
                <w:rFonts w:asciiTheme="minorHAnsi" w:hAnsiTheme="minorHAnsi" w:cstheme="minorHAnsi"/>
                <w:lang w:val="de-CH"/>
              </w:rPr>
              <w:t>gemessen Frist monetarisiert werden können.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3 Wiederverbriefungspositionen sind nicht als Sicherheiten zugelassen.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4 Die Sicherheiten sind täglich neu zu bewerten.</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343817" w:rsidP="00DE53D3">
            <w:pPr>
              <w:pStyle w:val="KeinLeerraum"/>
              <w:rPr>
                <w:rFonts w:asciiTheme="minorHAnsi" w:hAnsiTheme="minorHAnsi" w:cstheme="minorHAnsi"/>
                <w:lang w:val="de-CH"/>
              </w:rPr>
            </w:pPr>
            <w:r w:rsidRPr="00477502">
              <w:rPr>
                <w:rFonts w:asciiTheme="minorHAnsi" w:hAnsiTheme="minorHAnsi" w:cstheme="minorHAnsi"/>
                <w:lang w:val="de-CH"/>
              </w:rPr>
              <w:t>Es fehlt ein</w:t>
            </w:r>
            <w:r w:rsidR="007B711B" w:rsidRPr="00477502">
              <w:rPr>
                <w:rFonts w:asciiTheme="minorHAnsi" w:hAnsiTheme="minorHAnsi" w:cstheme="minorHAnsi"/>
                <w:lang w:val="de-CH"/>
              </w:rPr>
              <w:t>e</w:t>
            </w:r>
            <w:r w:rsidRPr="00477502">
              <w:rPr>
                <w:rFonts w:asciiTheme="minorHAnsi" w:hAnsiTheme="minorHAnsi" w:cstheme="minorHAnsi"/>
                <w:lang w:val="de-CH"/>
              </w:rPr>
              <w:t xml:space="preserve"> Definition, was al</w:t>
            </w:r>
            <w:r w:rsidR="007B711B" w:rsidRPr="00477502">
              <w:rPr>
                <w:rFonts w:asciiTheme="minorHAnsi" w:hAnsiTheme="minorHAnsi" w:cstheme="minorHAnsi"/>
                <w:lang w:val="de-CH"/>
              </w:rPr>
              <w:t>s</w:t>
            </w:r>
            <w:r w:rsidRPr="00477502">
              <w:rPr>
                <w:rFonts w:asciiTheme="minorHAnsi" w:hAnsiTheme="minorHAnsi" w:cstheme="minorHAnsi"/>
                <w:lang w:val="de-CH"/>
              </w:rPr>
              <w:t xml:space="preserve"> hoc</w:t>
            </w:r>
            <w:r w:rsidRPr="00477502">
              <w:rPr>
                <w:rFonts w:asciiTheme="minorHAnsi" w:hAnsiTheme="minorHAnsi" w:cstheme="minorHAnsi"/>
                <w:lang w:val="de-CH"/>
              </w:rPr>
              <w:t>h</w:t>
            </w:r>
            <w:r w:rsidRPr="00477502">
              <w:rPr>
                <w:rFonts w:asciiTheme="minorHAnsi" w:hAnsiTheme="minorHAnsi" w:cstheme="minorHAnsi"/>
                <w:lang w:val="de-CH"/>
              </w:rPr>
              <w:t>wertige Schuldverschreibungen gelten kann (z.B. zwei Ratings höher als A3</w:t>
            </w:r>
            <w:r w:rsidR="007B711B" w:rsidRPr="00477502">
              <w:rPr>
                <w:rFonts w:asciiTheme="minorHAnsi" w:hAnsiTheme="minorHAnsi" w:cstheme="minorHAnsi"/>
                <w:lang w:val="de-CH"/>
              </w:rPr>
              <w:t xml:space="preserve"> </w:t>
            </w:r>
            <w:r w:rsidRPr="00477502">
              <w:rPr>
                <w:rFonts w:asciiTheme="minorHAnsi" w:hAnsiTheme="minorHAnsi" w:cstheme="minorHAnsi"/>
                <w:lang w:val="de-CH"/>
              </w:rPr>
              <w:t xml:space="preserve"> /</w:t>
            </w:r>
            <w:r w:rsidR="007B711B" w:rsidRPr="00477502">
              <w:rPr>
                <w:rFonts w:asciiTheme="minorHAnsi" w:hAnsiTheme="minorHAnsi" w:cstheme="minorHAnsi"/>
                <w:lang w:val="de-CH"/>
              </w:rPr>
              <w:t xml:space="preserve"> </w:t>
            </w:r>
            <w:r w:rsidRPr="00477502">
              <w:rPr>
                <w:rFonts w:asciiTheme="minorHAnsi" w:hAnsiTheme="minorHAnsi" w:cstheme="minorHAnsi"/>
                <w:lang w:val="de-CH"/>
              </w:rPr>
              <w:t>A-)</w:t>
            </w:r>
            <w:r w:rsidR="00DE53D3" w:rsidRPr="00477502">
              <w:rPr>
                <w:rFonts w:asciiTheme="minorHAnsi" w:hAnsiTheme="minorHAnsi" w:cstheme="minorHAnsi"/>
                <w:lang w:val="de-CH"/>
              </w:rPr>
              <w:t>. Wir empfehlen ein</w:t>
            </w:r>
            <w:r w:rsidR="002B4DCF" w:rsidRPr="00477502">
              <w:rPr>
                <w:rFonts w:asciiTheme="minorHAnsi" w:hAnsiTheme="minorHAnsi" w:cstheme="minorHAnsi"/>
                <w:lang w:val="de-CH"/>
              </w:rPr>
              <w:t>e</w:t>
            </w:r>
            <w:r w:rsidR="00DE53D3" w:rsidRPr="00477502">
              <w:rPr>
                <w:rFonts w:asciiTheme="minorHAnsi" w:hAnsiTheme="minorHAnsi" w:cstheme="minorHAnsi"/>
                <w:lang w:val="de-CH"/>
              </w:rPr>
              <w:t xml:space="preserve"> Bestimmung aufzunehmen </w:t>
            </w:r>
            <w:r w:rsidRPr="00477502">
              <w:rPr>
                <w:rFonts w:asciiTheme="minorHAnsi" w:hAnsiTheme="minorHAnsi" w:cstheme="minorHAnsi"/>
                <w:lang w:val="de-CH"/>
              </w:rPr>
              <w:t>wer für den Erlass der Detailbestimmungen zuständig ist.</w:t>
            </w:r>
          </w:p>
        </w:tc>
      </w:tr>
      <w:tr w:rsidR="00343817" w:rsidRPr="00282D7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lastRenderedPageBreak/>
              <w:t>Art. 103 Grenzüberschreitende Geschäfte</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94 Abs. 2 und Art. 107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8B33A3"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ihren Sitz in einem Staat hat, dessen Recht von der FINMA als gleichwertig anerkannt worden ist; und</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Vgl. bezüglich der als gleichwertig ane</w:t>
            </w:r>
            <w:r w:rsidRPr="00477502">
              <w:rPr>
                <w:rFonts w:asciiTheme="minorHAnsi" w:hAnsiTheme="minorHAnsi" w:cstheme="minorHAnsi"/>
                <w:lang w:val="de-CH"/>
              </w:rPr>
              <w:t>r</w:t>
            </w:r>
            <w:r w:rsidRPr="00477502">
              <w:rPr>
                <w:rFonts w:asciiTheme="minorHAnsi" w:hAnsiTheme="minorHAnsi" w:cstheme="minorHAnsi"/>
                <w:lang w:val="de-CH"/>
              </w:rPr>
              <w:t>kannten ausländischen Regelung die Bemerkung zu E-Art. 77.</w:t>
            </w:r>
          </w:p>
        </w:tc>
      </w:tr>
    </w:tbl>
    <w:p w:rsidR="00282D7A" w:rsidRPr="008B33A3" w:rsidRDefault="00282D7A">
      <w:pPr>
        <w:rPr>
          <w:lang w:val="de-CH"/>
        </w:rPr>
      </w:pPr>
      <w:r w:rsidRPr="008B33A3">
        <w:rPr>
          <w:lang w:val="de-CH"/>
        </w:rPr>
        <w:br w:type="page"/>
      </w:r>
    </w:p>
    <w:tbl>
      <w:tblPr>
        <w:tblStyle w:val="Tabellenraster"/>
        <w:tblW w:w="0" w:type="auto"/>
        <w:tblLook w:val="04A0" w:firstRow="1" w:lastRow="0" w:firstColumn="1" w:lastColumn="0" w:noHBand="0" w:noVBand="1"/>
      </w:tblPr>
      <w:tblGrid>
        <w:gridCol w:w="4673"/>
        <w:gridCol w:w="4111"/>
        <w:gridCol w:w="3827"/>
      </w:tblGrid>
      <w:tr w:rsidR="00343817" w:rsidRPr="00282D7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lastRenderedPageBreak/>
              <w:t>5. Abschnitt: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Handel über Handelsplätze und organisierte Ha</w:t>
            </w:r>
            <w:r w:rsidRPr="00477502">
              <w:rPr>
                <w:rFonts w:asciiTheme="minorHAnsi" w:hAnsiTheme="minorHAnsi" w:cstheme="minorHAnsi"/>
                <w:lang w:val="de-CH"/>
              </w:rPr>
              <w:t>n</w:t>
            </w:r>
            <w:r w:rsidRPr="00477502">
              <w:rPr>
                <w:rFonts w:asciiTheme="minorHAnsi" w:hAnsiTheme="minorHAnsi" w:cstheme="minorHAnsi"/>
                <w:lang w:val="de-CH"/>
              </w:rPr>
              <w:t>delssysteme</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105 Beginn der Pflicht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112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Die Pflicht, ein Derivatgeschäft nach Artikel 112 FinfraG über einen Handelsplatz oder ein organ</w:t>
            </w:r>
            <w:r w:rsidRPr="00477502">
              <w:rPr>
                <w:rFonts w:asciiTheme="minorHAnsi" w:hAnsiTheme="minorHAnsi" w:cstheme="minorHAnsi"/>
                <w:lang w:val="de-CH"/>
              </w:rPr>
              <w:t>i</w:t>
            </w:r>
            <w:r w:rsidRPr="00477502">
              <w:rPr>
                <w:rFonts w:asciiTheme="minorHAnsi" w:hAnsiTheme="minorHAnsi" w:cstheme="minorHAnsi"/>
                <w:lang w:val="de-CH"/>
              </w:rPr>
              <w:t>siertes Handelssystem zu handeln (Handel</w:t>
            </w:r>
            <w:r w:rsidRPr="00477502">
              <w:rPr>
                <w:rFonts w:asciiTheme="minorHAnsi" w:hAnsiTheme="minorHAnsi" w:cstheme="minorHAnsi"/>
                <w:lang w:val="de-CH"/>
              </w:rPr>
              <w:t>s</w:t>
            </w:r>
            <w:r w:rsidRPr="00477502">
              <w:rPr>
                <w:rFonts w:asciiTheme="minorHAnsi" w:hAnsiTheme="minorHAnsi" w:cstheme="minorHAnsi"/>
                <w:lang w:val="de-CH"/>
              </w:rPr>
              <w:t>pflicht) gilt, gerechnet ab dem Zeitpunkt, an dem sie die FINMA für das betreffende Derivatgeschäft bekannt macht: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w:t>
            </w:r>
          </w:p>
          <w:p w:rsidR="00343817" w:rsidRPr="00477502" w:rsidRDefault="00343817" w:rsidP="00343817">
            <w:pPr>
              <w:pStyle w:val="KeinLeerraum"/>
              <w:rPr>
                <w:rFonts w:asciiTheme="minorHAnsi" w:hAnsiTheme="minorHAnsi" w:cstheme="minorHAnsi"/>
                <w:lang w:val="de-CH"/>
              </w:rPr>
            </w:pP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Die Pflicht, ein Derivatgeschäft nach Artikel 112 FinfraG über einen Handelsplatz oder ein organisiertes Handelssystem zu ha</w:t>
            </w:r>
            <w:r w:rsidRPr="00477502">
              <w:rPr>
                <w:rFonts w:asciiTheme="minorHAnsi" w:hAnsiTheme="minorHAnsi" w:cstheme="minorHAnsi"/>
                <w:lang w:val="de-CH"/>
              </w:rPr>
              <w:t>n</w:t>
            </w:r>
            <w:r w:rsidRPr="00477502">
              <w:rPr>
                <w:rFonts w:asciiTheme="minorHAnsi" w:hAnsiTheme="minorHAnsi" w:cstheme="minorHAnsi"/>
                <w:lang w:val="de-CH"/>
              </w:rPr>
              <w:t>deln (</w:t>
            </w:r>
            <w:r w:rsidRPr="00477502">
              <w:rPr>
                <w:rFonts w:asciiTheme="minorHAnsi" w:hAnsiTheme="minorHAnsi" w:cstheme="minorHAnsi"/>
                <w:b/>
                <w:lang w:val="de-CH"/>
              </w:rPr>
              <w:t>Handelsplattformpflicht</w:t>
            </w:r>
            <w:r w:rsidRPr="00477502">
              <w:rPr>
                <w:rFonts w:asciiTheme="minorHAnsi" w:hAnsiTheme="minorHAnsi" w:cstheme="minorHAnsi"/>
                <w:lang w:val="de-CH"/>
              </w:rPr>
              <w:t>) gilt, g</w:t>
            </w:r>
            <w:r w:rsidRPr="00477502">
              <w:rPr>
                <w:rFonts w:asciiTheme="minorHAnsi" w:hAnsiTheme="minorHAnsi" w:cstheme="minorHAnsi"/>
                <w:lang w:val="de-CH"/>
              </w:rPr>
              <w:t>e</w:t>
            </w:r>
            <w:r w:rsidRPr="00477502">
              <w:rPr>
                <w:rFonts w:asciiTheme="minorHAnsi" w:hAnsiTheme="minorHAnsi" w:cstheme="minorHAnsi"/>
                <w:lang w:val="de-CH"/>
              </w:rPr>
              <w:t>rechnet ab dem Zeitpunkt, an dem sie die FINMA für das betreffende Derivatgeschäft bekannt macht: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w:t>
            </w:r>
          </w:p>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Der Begriff "Handelsplattformpflicht" würde allenfalls aussagekräftiger u</w:t>
            </w:r>
            <w:r w:rsidRPr="00477502">
              <w:rPr>
                <w:rFonts w:asciiTheme="minorHAnsi" w:hAnsiTheme="minorHAnsi" w:cstheme="minorHAnsi"/>
                <w:lang w:val="de-CH"/>
              </w:rPr>
              <w:t>m</w:t>
            </w:r>
            <w:r w:rsidR="003B1C48">
              <w:rPr>
                <w:rFonts w:asciiTheme="minorHAnsi" w:hAnsiTheme="minorHAnsi" w:cstheme="minorHAnsi"/>
                <w:lang w:val="de-CH"/>
              </w:rPr>
              <w:t>schr</w:t>
            </w:r>
            <w:r w:rsidRPr="00477502">
              <w:rPr>
                <w:rFonts w:asciiTheme="minorHAnsi" w:hAnsiTheme="minorHAnsi" w:cstheme="minorHAnsi"/>
                <w:lang w:val="de-CH"/>
              </w:rPr>
              <w:t>e</w:t>
            </w:r>
            <w:r w:rsidR="003B1C48">
              <w:rPr>
                <w:rFonts w:asciiTheme="minorHAnsi" w:hAnsiTheme="minorHAnsi" w:cstheme="minorHAnsi"/>
                <w:lang w:val="de-CH"/>
              </w:rPr>
              <w:t>i</w:t>
            </w:r>
            <w:r w:rsidRPr="00477502">
              <w:rPr>
                <w:rFonts w:asciiTheme="minorHAnsi" w:hAnsiTheme="minorHAnsi" w:cstheme="minorHAnsi"/>
                <w:lang w:val="de-CH"/>
              </w:rPr>
              <w:t>ben, dass über einen Handel</w:t>
            </w:r>
            <w:r w:rsidRPr="00477502">
              <w:rPr>
                <w:rFonts w:asciiTheme="minorHAnsi" w:hAnsiTheme="minorHAnsi" w:cstheme="minorHAnsi"/>
                <w:lang w:val="de-CH"/>
              </w:rPr>
              <w:t>s</w:t>
            </w:r>
            <w:r w:rsidRPr="00477502">
              <w:rPr>
                <w:rFonts w:asciiTheme="minorHAnsi" w:hAnsiTheme="minorHAnsi" w:cstheme="minorHAnsi"/>
                <w:lang w:val="de-CH"/>
              </w:rPr>
              <w:t>platz oder ein organisiertes Handels</w:t>
            </w:r>
            <w:r w:rsidR="003B1C48">
              <w:rPr>
                <w:rFonts w:asciiTheme="minorHAnsi" w:hAnsiTheme="minorHAnsi" w:cstheme="minorHAnsi"/>
                <w:lang w:val="de-CH"/>
              </w:rPr>
              <w:t>-</w:t>
            </w:r>
            <w:r w:rsidRPr="00477502">
              <w:rPr>
                <w:rFonts w:asciiTheme="minorHAnsi" w:hAnsiTheme="minorHAnsi" w:cstheme="minorHAnsi"/>
                <w:lang w:val="de-CH"/>
              </w:rPr>
              <w:t>system (eine "Handelsplattform") g</w:t>
            </w:r>
            <w:r w:rsidRPr="00477502">
              <w:rPr>
                <w:rFonts w:asciiTheme="minorHAnsi" w:hAnsiTheme="minorHAnsi" w:cstheme="minorHAnsi"/>
                <w:lang w:val="de-CH"/>
              </w:rPr>
              <w:t>e</w:t>
            </w:r>
            <w:r w:rsidRPr="00477502">
              <w:rPr>
                <w:rFonts w:asciiTheme="minorHAnsi" w:hAnsiTheme="minorHAnsi" w:cstheme="minorHAnsi"/>
                <w:lang w:val="de-CH"/>
              </w:rPr>
              <w:t xml:space="preserve">handelt werden muss. Siehe z.B. auch Wortlaut in Art. 17 E-FinfraV-FINMA ("Handelsplattform"). </w:t>
            </w:r>
          </w:p>
        </w:tc>
      </w:tr>
      <w:tr w:rsidR="00343817" w:rsidRPr="00282D7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108 Grenzüberschreitende Geschäfte</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94 Abs. 2 und Art. 114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E23EC2"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Es muss bei grenzüberschreitenden Geschäften nicht über einen Handelsplatz oder ein organisie</w:t>
            </w:r>
            <w:r w:rsidRPr="00477502">
              <w:rPr>
                <w:rFonts w:asciiTheme="minorHAnsi" w:hAnsiTheme="minorHAnsi" w:cstheme="minorHAnsi"/>
                <w:lang w:val="de-CH"/>
              </w:rPr>
              <w:t>r</w:t>
            </w:r>
            <w:r w:rsidRPr="00477502">
              <w:rPr>
                <w:rFonts w:asciiTheme="minorHAnsi" w:hAnsiTheme="minorHAnsi" w:cstheme="minorHAnsi"/>
                <w:lang w:val="de-CH"/>
              </w:rPr>
              <w:t>tes Handelssystem gehandelt werden, sofern die ausländische Gegenpartei:</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ihren Sitz in einem Staat hat, dessen Recht von der FINMA als gleichwertig anerkannt worden ist;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b. nach dem Recht dieses Staat nicht handel</w:t>
            </w:r>
            <w:r w:rsidRPr="00477502">
              <w:rPr>
                <w:rFonts w:asciiTheme="minorHAnsi" w:hAnsiTheme="minorHAnsi" w:cstheme="minorHAnsi"/>
                <w:lang w:val="de-CH"/>
              </w:rPr>
              <w:t>s</w:t>
            </w:r>
            <w:r w:rsidRPr="00477502">
              <w:rPr>
                <w:rFonts w:asciiTheme="minorHAnsi" w:hAnsiTheme="minorHAnsi" w:cstheme="minorHAnsi"/>
                <w:lang w:val="de-CH"/>
              </w:rPr>
              <w:t>pflichtig ist.</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Es muss bei grenzüberschreitenden G</w:t>
            </w:r>
            <w:r w:rsidRPr="00477502">
              <w:rPr>
                <w:rFonts w:asciiTheme="minorHAnsi" w:hAnsiTheme="minorHAnsi" w:cstheme="minorHAnsi"/>
                <w:lang w:val="de-CH"/>
              </w:rPr>
              <w:t>e</w:t>
            </w:r>
            <w:r w:rsidRPr="00477502">
              <w:rPr>
                <w:rFonts w:asciiTheme="minorHAnsi" w:hAnsiTheme="minorHAnsi" w:cstheme="minorHAnsi"/>
                <w:lang w:val="de-CH"/>
              </w:rPr>
              <w:t>schäften nicht über einen Handelsplatz oder ein organisiertes Handelssystem g</w:t>
            </w:r>
            <w:r w:rsidRPr="00477502">
              <w:rPr>
                <w:rFonts w:asciiTheme="minorHAnsi" w:hAnsiTheme="minorHAnsi" w:cstheme="minorHAnsi"/>
                <w:lang w:val="de-CH"/>
              </w:rPr>
              <w:t>e</w:t>
            </w:r>
            <w:r w:rsidRPr="00477502">
              <w:rPr>
                <w:rFonts w:asciiTheme="minorHAnsi" w:hAnsiTheme="minorHAnsi" w:cstheme="minorHAnsi"/>
                <w:lang w:val="de-CH"/>
              </w:rPr>
              <w:t xml:space="preserve">handelt werden, sofern </w:t>
            </w:r>
          </w:p>
          <w:p w:rsidR="00343817" w:rsidRPr="00477502" w:rsidRDefault="00343817" w:rsidP="00343817">
            <w:pPr>
              <w:pStyle w:val="KeinLeerraum"/>
              <w:rPr>
                <w:rFonts w:asciiTheme="minorHAnsi" w:hAnsiTheme="minorHAnsi" w:cstheme="minorHAnsi"/>
                <w:b/>
                <w:lang w:val="de-CH"/>
              </w:rPr>
            </w:pPr>
            <w:r w:rsidRPr="00477502">
              <w:rPr>
                <w:rFonts w:asciiTheme="minorHAnsi" w:hAnsiTheme="minorHAnsi" w:cstheme="minorHAnsi"/>
                <w:b/>
                <w:lang w:val="de-CH"/>
              </w:rPr>
              <w:t>a.</w:t>
            </w:r>
            <w:r w:rsidRPr="00477502">
              <w:rPr>
                <w:rFonts w:asciiTheme="minorHAnsi" w:hAnsiTheme="minorHAnsi" w:cstheme="minorHAnsi"/>
                <w:lang w:val="de-CH"/>
              </w:rPr>
              <w:t xml:space="preserve"> </w:t>
            </w:r>
            <w:r w:rsidRPr="00477502">
              <w:rPr>
                <w:rFonts w:asciiTheme="minorHAnsi" w:hAnsiTheme="minorHAnsi" w:cstheme="minorHAnsi"/>
                <w:b/>
                <w:lang w:val="de-CH"/>
              </w:rPr>
              <w:t>die ausländische Gegenpartei ihren Sitz in einem Staat hat, dessen Recht von der FINMA als gleichwertig ane</w:t>
            </w:r>
            <w:r w:rsidRPr="00477502">
              <w:rPr>
                <w:rFonts w:asciiTheme="minorHAnsi" w:hAnsiTheme="minorHAnsi" w:cstheme="minorHAnsi"/>
                <w:b/>
                <w:lang w:val="de-CH"/>
              </w:rPr>
              <w:t>r</w:t>
            </w:r>
            <w:r w:rsidRPr="00477502">
              <w:rPr>
                <w:rFonts w:asciiTheme="minorHAnsi" w:hAnsiTheme="minorHAnsi" w:cstheme="minorHAnsi"/>
                <w:b/>
                <w:lang w:val="de-CH"/>
              </w:rPr>
              <w:t>kannt worden ist; und</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b/>
                <w:lang w:val="de-CH"/>
              </w:rPr>
              <w:t>b. das Derivategeschäft nach dem Recht dieses Staates nicht handelspflichtig ist.</w:t>
            </w:r>
          </w:p>
        </w:tc>
        <w:tc>
          <w:tcPr>
            <w:tcW w:w="3827" w:type="dxa"/>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Präzisierung der Formulierung</w:t>
            </w:r>
          </w:p>
        </w:tc>
      </w:tr>
      <w:tr w:rsidR="00343817" w:rsidRPr="00E7264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6. Abschnitt: Dokumentation und Prüfung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E7264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110 Dokumentation</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116 FinfraG)</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Finanzielle und Nichtfinanzielle Gegenparteien regeln schriftlich die Abläufe, mit denen sie die Umsetzung der Pflichten sicherstellen, zur:</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Abrechnung über eine zentrale Gegenpartei (Art. 97 FinfraG);</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b. Ermittlung der Schwellenwerte (Art. 100 Fi</w:t>
            </w:r>
            <w:r w:rsidRPr="00477502">
              <w:rPr>
                <w:rFonts w:asciiTheme="minorHAnsi" w:hAnsiTheme="minorHAnsi" w:cstheme="minorHAnsi"/>
                <w:lang w:val="de-CH"/>
              </w:rPr>
              <w:t>n</w:t>
            </w:r>
            <w:r w:rsidRPr="00477502">
              <w:rPr>
                <w:rFonts w:asciiTheme="minorHAnsi" w:hAnsiTheme="minorHAnsi" w:cstheme="minorHAnsi"/>
                <w:lang w:val="de-CH"/>
              </w:rPr>
              <w:t>fraG);</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c. Meldung an ein Transaktionsregister (Art. 104 FinfraG);</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d. Risikominderung (Art. 107 FinfraG);</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e. Handel über Handelsplätze und organisierte </w:t>
            </w:r>
            <w:r w:rsidRPr="00477502">
              <w:rPr>
                <w:rFonts w:asciiTheme="minorHAnsi" w:hAnsiTheme="minorHAnsi" w:cstheme="minorHAnsi"/>
                <w:lang w:val="de-CH"/>
              </w:rPr>
              <w:lastRenderedPageBreak/>
              <w:t>Handelssysteme (Art. 112 FinfraG).</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2 Nichtfinanzielle Gegenparteien, die nicht mit Derivaten handeln wollen, können diesen B</w:t>
            </w:r>
            <w:r w:rsidRPr="00477502">
              <w:rPr>
                <w:rFonts w:asciiTheme="minorHAnsi" w:hAnsiTheme="minorHAnsi" w:cstheme="minorHAnsi"/>
                <w:lang w:val="de-CH"/>
              </w:rPr>
              <w:t>e</w:t>
            </w:r>
            <w:r w:rsidRPr="00477502">
              <w:rPr>
                <w:rFonts w:asciiTheme="minorHAnsi" w:hAnsiTheme="minorHAnsi" w:cstheme="minorHAnsi"/>
                <w:lang w:val="de-CH"/>
              </w:rPr>
              <w:t>schluss schriftlich festhalten und sind dann von der Pflicht nach Absatz 1 befreit.</w:t>
            </w: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343817" w:rsidP="00DE53D3">
            <w:pPr>
              <w:pStyle w:val="KeinLeerraum"/>
              <w:rPr>
                <w:rFonts w:asciiTheme="minorHAnsi" w:hAnsiTheme="minorHAnsi" w:cstheme="minorHAnsi"/>
                <w:lang w:val="de-CH"/>
              </w:rPr>
            </w:pPr>
            <w:r w:rsidRPr="00477502">
              <w:rPr>
                <w:rFonts w:asciiTheme="minorHAnsi" w:hAnsiTheme="minorHAnsi" w:cstheme="minorHAnsi"/>
                <w:color w:val="000000" w:themeColor="text1"/>
                <w:lang w:val="de-CH"/>
              </w:rPr>
              <w:t xml:space="preserve">Für die Implementierung dieser Pflicht </w:t>
            </w:r>
            <w:r w:rsidR="007B711B" w:rsidRPr="00477502">
              <w:rPr>
                <w:rFonts w:asciiTheme="minorHAnsi" w:hAnsiTheme="minorHAnsi" w:cstheme="minorHAnsi"/>
                <w:color w:val="000000" w:themeColor="text1"/>
                <w:lang w:val="de-CH"/>
              </w:rPr>
              <w:t>empfehlen wir eine Übergangsfrist fes</w:t>
            </w:r>
            <w:r w:rsidR="007B711B" w:rsidRPr="00477502">
              <w:rPr>
                <w:rFonts w:asciiTheme="minorHAnsi" w:hAnsiTheme="minorHAnsi" w:cstheme="minorHAnsi"/>
                <w:color w:val="000000" w:themeColor="text1"/>
                <w:lang w:val="de-CH"/>
              </w:rPr>
              <w:t>t</w:t>
            </w:r>
            <w:r w:rsidR="007B711B" w:rsidRPr="00477502">
              <w:rPr>
                <w:rFonts w:asciiTheme="minorHAnsi" w:hAnsiTheme="minorHAnsi" w:cstheme="minorHAnsi"/>
                <w:color w:val="000000" w:themeColor="text1"/>
                <w:lang w:val="de-CH"/>
              </w:rPr>
              <w:t>zulegen, da davon auszugehen ist, dass die Marktteiln</w:t>
            </w:r>
            <w:r w:rsidRPr="00477502">
              <w:rPr>
                <w:rFonts w:asciiTheme="minorHAnsi" w:hAnsiTheme="minorHAnsi" w:cstheme="minorHAnsi"/>
                <w:color w:val="000000" w:themeColor="text1"/>
                <w:lang w:val="de-CH"/>
              </w:rPr>
              <w:t>ehmer</w:t>
            </w:r>
            <w:r w:rsidR="00DE53D3" w:rsidRPr="00477502">
              <w:rPr>
                <w:rFonts w:asciiTheme="minorHAnsi" w:hAnsiTheme="minorHAnsi" w:cstheme="minorHAnsi"/>
                <w:color w:val="000000" w:themeColor="text1"/>
                <w:lang w:val="de-CH"/>
              </w:rPr>
              <w:t xml:space="preserve"> eine gewisse Zeit für die Erstellung dieser Dokumentation benötigen. </w:t>
            </w:r>
            <w:r w:rsidRPr="00477502">
              <w:rPr>
                <w:rFonts w:asciiTheme="minorHAnsi" w:hAnsiTheme="minorHAnsi" w:cstheme="minorHAnsi"/>
                <w:color w:val="000000" w:themeColor="text1"/>
                <w:lang w:val="de-CH"/>
              </w:rPr>
              <w:t xml:space="preserve"> </w:t>
            </w:r>
          </w:p>
        </w:tc>
      </w:tr>
      <w:tr w:rsidR="00172E47" w:rsidRPr="00282D7A" w:rsidTr="003F2F22">
        <w:tc>
          <w:tcPr>
            <w:tcW w:w="4673" w:type="dxa"/>
            <w:shd w:val="clear" w:color="auto" w:fill="D9D9D9" w:themeFill="background2" w:themeFillShade="D9"/>
          </w:tcPr>
          <w:p w:rsidR="00172E47" w:rsidRPr="00172E47" w:rsidRDefault="00172E47" w:rsidP="00172E47">
            <w:pPr>
              <w:pStyle w:val="KeinLeerraum"/>
              <w:rPr>
                <w:rFonts w:asciiTheme="minorHAnsi" w:hAnsiTheme="minorHAnsi" w:cstheme="minorHAnsi"/>
                <w:szCs w:val="20"/>
                <w:lang w:val="de-CH"/>
              </w:rPr>
            </w:pPr>
            <w:r w:rsidRPr="00172E47">
              <w:rPr>
                <w:rFonts w:asciiTheme="minorHAnsi" w:hAnsiTheme="minorHAnsi" w:cstheme="minorHAnsi"/>
                <w:szCs w:val="20"/>
                <w:lang w:val="de-CH"/>
              </w:rPr>
              <w:lastRenderedPageBreak/>
              <w:t>Art. 111 Prüfung und Anzeige</w:t>
            </w:r>
          </w:p>
          <w:p w:rsidR="00172E47" w:rsidRPr="00477502" w:rsidRDefault="00172E47" w:rsidP="00172E47">
            <w:pPr>
              <w:pStyle w:val="KeinLeerraum"/>
              <w:rPr>
                <w:rFonts w:asciiTheme="minorHAnsi" w:hAnsiTheme="minorHAnsi" w:cstheme="minorHAnsi"/>
                <w:lang w:val="de-CH"/>
              </w:rPr>
            </w:pPr>
            <w:r w:rsidRPr="00172E47">
              <w:rPr>
                <w:rFonts w:asciiTheme="minorHAnsi" w:hAnsiTheme="minorHAnsi" w:cstheme="minorHAnsi"/>
                <w:szCs w:val="20"/>
                <w:lang w:val="de-CH"/>
              </w:rPr>
              <w:t>(Art. 116 und 117 FinfraG)</w:t>
            </w:r>
          </w:p>
        </w:tc>
        <w:tc>
          <w:tcPr>
            <w:tcW w:w="4111" w:type="dxa"/>
            <w:shd w:val="clear" w:color="auto" w:fill="D9D9D9" w:themeFill="background2" w:themeFillShade="D9"/>
          </w:tcPr>
          <w:p w:rsidR="00172E47" w:rsidRPr="00477502" w:rsidRDefault="00172E4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172E47" w:rsidRPr="00477502" w:rsidRDefault="00172E47" w:rsidP="00343817">
            <w:pPr>
              <w:pStyle w:val="KeinLeerraum"/>
              <w:rPr>
                <w:rFonts w:asciiTheme="minorHAnsi" w:hAnsiTheme="minorHAnsi" w:cstheme="minorHAnsi"/>
                <w:lang w:val="de-CH"/>
              </w:rPr>
            </w:pPr>
          </w:p>
        </w:tc>
      </w:tr>
      <w:tr w:rsidR="00172E47" w:rsidRPr="00172E47" w:rsidTr="00172E47">
        <w:tc>
          <w:tcPr>
            <w:tcW w:w="4673" w:type="dxa"/>
            <w:shd w:val="clear" w:color="auto" w:fill="auto"/>
          </w:tcPr>
          <w:p w:rsidR="00172E47" w:rsidRPr="00172E47" w:rsidRDefault="00172E47" w:rsidP="00172E47">
            <w:pPr>
              <w:pStyle w:val="KeinLeerraum"/>
              <w:rPr>
                <w:rFonts w:asciiTheme="minorHAnsi" w:hAnsiTheme="minorHAnsi" w:cstheme="minorHAnsi"/>
                <w:lang w:val="de-CH"/>
              </w:rPr>
            </w:pPr>
            <w:r w:rsidRPr="00172E47">
              <w:rPr>
                <w:rFonts w:asciiTheme="minorHAnsi" w:hAnsiTheme="minorHAnsi" w:cstheme="minorHAnsi"/>
                <w:lang w:val="de-CH"/>
              </w:rPr>
              <w:t>1 Die Revisionsstelle prüft bei Nichtfinanziellen Gegenparteien, ob diese Vorkehrungen getroffen haben, um insbesondere die in Artikel 110 Absatz 1 Buchstaben a–e genannten Pflichten beim Handel mit Derivaten einzuhalten.</w:t>
            </w:r>
          </w:p>
          <w:p w:rsidR="00172E47" w:rsidRPr="00282D7A" w:rsidRDefault="00172E47" w:rsidP="00172E47">
            <w:pPr>
              <w:pStyle w:val="KeinLeerraum"/>
              <w:rPr>
                <w:rFonts w:asciiTheme="minorHAnsi" w:hAnsiTheme="minorHAnsi" w:cstheme="minorHAnsi"/>
                <w:sz w:val="16"/>
                <w:szCs w:val="16"/>
                <w:lang w:val="de-CH"/>
              </w:rPr>
            </w:pPr>
          </w:p>
          <w:p w:rsidR="00172E47" w:rsidRPr="00172E47" w:rsidRDefault="00172E47" w:rsidP="00172E47">
            <w:pPr>
              <w:pStyle w:val="KeinLeerraum"/>
              <w:rPr>
                <w:rFonts w:asciiTheme="minorHAnsi" w:hAnsiTheme="minorHAnsi" w:cstheme="minorHAnsi"/>
                <w:lang w:val="de-CH"/>
              </w:rPr>
            </w:pPr>
            <w:r w:rsidRPr="00172E47">
              <w:rPr>
                <w:rFonts w:asciiTheme="minorHAnsi" w:hAnsiTheme="minorHAnsi" w:cstheme="minorHAnsi"/>
                <w:lang w:val="de-CH"/>
              </w:rPr>
              <w:t>2 Sie trägt bei der Prüfung den Grundsätzen der risikoorientierten Prüfung und der Wesentlichkeit Rechnung.</w:t>
            </w:r>
          </w:p>
          <w:p w:rsidR="00172E47" w:rsidRPr="00282D7A" w:rsidRDefault="00172E47" w:rsidP="00172E47">
            <w:pPr>
              <w:pStyle w:val="KeinLeerraum"/>
              <w:rPr>
                <w:rFonts w:asciiTheme="minorHAnsi" w:hAnsiTheme="minorHAnsi" w:cstheme="minorHAnsi"/>
                <w:sz w:val="16"/>
                <w:szCs w:val="16"/>
                <w:lang w:val="de-CH"/>
              </w:rPr>
            </w:pPr>
          </w:p>
          <w:p w:rsidR="00172E47" w:rsidRPr="00172E47" w:rsidRDefault="00172E47" w:rsidP="00172E47">
            <w:pPr>
              <w:pStyle w:val="KeinLeerraum"/>
              <w:rPr>
                <w:rFonts w:asciiTheme="minorHAnsi" w:hAnsiTheme="minorHAnsi" w:cstheme="minorHAnsi"/>
                <w:lang w:val="de-CH"/>
              </w:rPr>
            </w:pPr>
            <w:r w:rsidRPr="00172E47">
              <w:rPr>
                <w:rFonts w:asciiTheme="minorHAnsi" w:hAnsiTheme="minorHAnsi" w:cstheme="minorHAnsi"/>
                <w:lang w:val="de-CH"/>
              </w:rPr>
              <w:t>3 Die Revisionsstelle nach Artikel 727 des Oblig</w:t>
            </w:r>
            <w:r w:rsidRPr="00172E47">
              <w:rPr>
                <w:rFonts w:asciiTheme="minorHAnsi" w:hAnsiTheme="minorHAnsi" w:cstheme="minorHAnsi"/>
                <w:lang w:val="de-CH"/>
              </w:rPr>
              <w:t>a</w:t>
            </w:r>
            <w:r w:rsidRPr="00172E47">
              <w:rPr>
                <w:rFonts w:asciiTheme="minorHAnsi" w:hAnsiTheme="minorHAnsi" w:cstheme="minorHAnsi"/>
                <w:lang w:val="de-CH"/>
              </w:rPr>
              <w:t>tionenrechts (OR) hält das Resultat der Prüfung im umfassenden Bericht an den Verwaltungsrat nach Artikel 728b Absatz 1 OR fest.</w:t>
            </w:r>
          </w:p>
          <w:p w:rsidR="00172E47" w:rsidRPr="00282D7A" w:rsidRDefault="00172E47" w:rsidP="00172E47">
            <w:pPr>
              <w:pStyle w:val="KeinLeerraum"/>
              <w:rPr>
                <w:rFonts w:asciiTheme="minorHAnsi" w:hAnsiTheme="minorHAnsi" w:cstheme="minorHAnsi"/>
                <w:sz w:val="16"/>
                <w:szCs w:val="16"/>
                <w:lang w:val="de-CH"/>
              </w:rPr>
            </w:pPr>
          </w:p>
          <w:p w:rsidR="00172E47" w:rsidRPr="00172E47" w:rsidRDefault="00172E47" w:rsidP="00172E47">
            <w:pPr>
              <w:pStyle w:val="KeinLeerraum"/>
              <w:rPr>
                <w:rFonts w:asciiTheme="minorHAnsi" w:hAnsiTheme="minorHAnsi" w:cstheme="minorHAnsi"/>
                <w:lang w:val="de-CH"/>
              </w:rPr>
            </w:pPr>
            <w:r w:rsidRPr="00172E47">
              <w:rPr>
                <w:rFonts w:asciiTheme="minorHAnsi" w:hAnsiTheme="minorHAnsi" w:cstheme="minorHAnsi"/>
                <w:lang w:val="de-CH"/>
              </w:rPr>
              <w:t>4 Die Revisionsstelle nach Artikel 727a OR info</w:t>
            </w:r>
            <w:r w:rsidRPr="00172E47">
              <w:rPr>
                <w:rFonts w:asciiTheme="minorHAnsi" w:hAnsiTheme="minorHAnsi" w:cstheme="minorHAnsi"/>
                <w:lang w:val="de-CH"/>
              </w:rPr>
              <w:t>r</w:t>
            </w:r>
            <w:r w:rsidRPr="00172E47">
              <w:rPr>
                <w:rFonts w:asciiTheme="minorHAnsi" w:hAnsiTheme="minorHAnsi" w:cstheme="minorHAnsi"/>
                <w:lang w:val="de-CH"/>
              </w:rPr>
              <w:t>miert das verantwortliche Organ des geprüften Unternehmens schriftlich über das Resultat der Prüfung.</w:t>
            </w:r>
          </w:p>
          <w:p w:rsidR="00172E47" w:rsidRPr="00172E47" w:rsidRDefault="00172E47" w:rsidP="00172E47">
            <w:pPr>
              <w:pStyle w:val="KeinLeerraum"/>
              <w:rPr>
                <w:rFonts w:asciiTheme="minorHAnsi" w:hAnsiTheme="minorHAnsi" w:cstheme="minorHAnsi"/>
                <w:lang w:val="de-CH"/>
              </w:rPr>
            </w:pPr>
            <w:r w:rsidRPr="00172E47">
              <w:rPr>
                <w:rFonts w:asciiTheme="minorHAnsi" w:hAnsiTheme="minorHAnsi" w:cstheme="minorHAnsi"/>
                <w:lang w:val="de-CH"/>
              </w:rPr>
              <w:t>5 Stellt die Revisionsstelle Verstösse gegen die Bestimmungen über den Handel mit Derivaten fest, so hält sie diese in der Berichterstattung nach den Absätzen 3 und 4 fest. Sie setzt eine Frist für die Behebung der gemeldeten Verstösse.</w:t>
            </w:r>
          </w:p>
          <w:p w:rsidR="00172E47" w:rsidRPr="00172E47" w:rsidRDefault="00172E47" w:rsidP="00172E47">
            <w:pPr>
              <w:pStyle w:val="KeinLeerraum"/>
              <w:rPr>
                <w:rFonts w:asciiTheme="minorHAnsi" w:hAnsiTheme="minorHAnsi" w:cstheme="minorHAnsi"/>
                <w:lang w:val="de-CH"/>
              </w:rPr>
            </w:pPr>
            <w:r w:rsidRPr="00172E47">
              <w:rPr>
                <w:rFonts w:asciiTheme="minorHAnsi" w:hAnsiTheme="minorHAnsi" w:cstheme="minorHAnsi"/>
                <w:lang w:val="de-CH"/>
              </w:rPr>
              <w:t>6 Hat die geprüfte Gesellschaft während der Prü</w:t>
            </w:r>
            <w:r w:rsidRPr="00172E47">
              <w:rPr>
                <w:rFonts w:asciiTheme="minorHAnsi" w:hAnsiTheme="minorHAnsi" w:cstheme="minorHAnsi"/>
                <w:lang w:val="de-CH"/>
              </w:rPr>
              <w:t>f</w:t>
            </w:r>
            <w:r w:rsidRPr="00172E47">
              <w:rPr>
                <w:rFonts w:asciiTheme="minorHAnsi" w:hAnsiTheme="minorHAnsi" w:cstheme="minorHAnsi"/>
                <w:lang w:val="de-CH"/>
              </w:rPr>
              <w:t>periode keine Derivatgeschäfte getätigt und st</w:t>
            </w:r>
            <w:r w:rsidRPr="00172E47">
              <w:rPr>
                <w:rFonts w:asciiTheme="minorHAnsi" w:hAnsiTheme="minorHAnsi" w:cstheme="minorHAnsi"/>
                <w:lang w:val="de-CH"/>
              </w:rPr>
              <w:t>e</w:t>
            </w:r>
            <w:r w:rsidRPr="00172E47">
              <w:rPr>
                <w:rFonts w:asciiTheme="minorHAnsi" w:hAnsiTheme="minorHAnsi" w:cstheme="minorHAnsi"/>
                <w:lang w:val="de-CH"/>
              </w:rPr>
              <w:t>hen an deren Ende auch keine aus, so kann die Berichterstattung nach den Absätzen 3 und 4 unterbleiben.</w:t>
            </w:r>
          </w:p>
          <w:p w:rsidR="00172E47" w:rsidRPr="00172E47" w:rsidRDefault="00172E47" w:rsidP="00172E47">
            <w:pPr>
              <w:pStyle w:val="KeinLeerraum"/>
              <w:rPr>
                <w:rFonts w:asciiTheme="minorHAnsi" w:hAnsiTheme="minorHAnsi" w:cstheme="minorHAnsi"/>
                <w:lang w:val="de-CH"/>
              </w:rPr>
            </w:pPr>
            <w:r w:rsidRPr="00172E47">
              <w:rPr>
                <w:rFonts w:asciiTheme="minorHAnsi" w:hAnsiTheme="minorHAnsi" w:cstheme="minorHAnsi"/>
                <w:lang w:val="de-CH"/>
              </w:rPr>
              <w:t>7 Die Revisionsstelle meldet die Verstösse dem Eidgenössischen Finanzdepartement, wenn die Gesellschaft die Verstösse nach Absatz 5 nicht innerhalb der gesetzten Frist behebt oder wenn sich diese wiederholen.</w:t>
            </w:r>
          </w:p>
        </w:tc>
        <w:tc>
          <w:tcPr>
            <w:tcW w:w="4111" w:type="dxa"/>
            <w:shd w:val="clear" w:color="auto" w:fill="auto"/>
          </w:tcPr>
          <w:p w:rsidR="00172E47" w:rsidRPr="00172E47" w:rsidRDefault="00172E47" w:rsidP="00172E47">
            <w:pPr>
              <w:rPr>
                <w:rFonts w:asciiTheme="minorHAnsi" w:eastAsiaTheme="minorEastAsia" w:hAnsiTheme="minorHAnsi"/>
                <w:szCs w:val="20"/>
                <w:lang w:val="de-CH" w:eastAsia="de-CH"/>
              </w:rPr>
            </w:pPr>
            <w:r w:rsidRPr="00172E47">
              <w:rPr>
                <w:rFonts w:asciiTheme="minorHAnsi" w:eastAsiaTheme="minorEastAsia" w:hAnsiTheme="minorHAnsi"/>
                <w:szCs w:val="20"/>
                <w:u w:val="single"/>
                <w:lang w:val="de-CH" w:eastAsia="de-CH"/>
              </w:rPr>
              <w:t xml:space="preserve">Ergänzung in Art 111 Abs. 1. </w:t>
            </w:r>
          </w:p>
          <w:p w:rsidR="00172E47" w:rsidRPr="00172E47" w:rsidRDefault="00172E47" w:rsidP="00172E47">
            <w:pPr>
              <w:rPr>
                <w:rFonts w:asciiTheme="minorHAnsi" w:eastAsiaTheme="minorEastAsia" w:hAnsiTheme="minorHAnsi"/>
                <w:b/>
                <w:szCs w:val="20"/>
                <w:lang w:val="de-CH" w:eastAsia="de-CH"/>
              </w:rPr>
            </w:pPr>
            <w:r w:rsidRPr="00172E47">
              <w:rPr>
                <w:rFonts w:asciiTheme="minorHAnsi" w:eastAsiaTheme="minorEastAsia" w:hAnsiTheme="minorHAnsi"/>
                <w:szCs w:val="20"/>
                <w:lang w:val="de-CH" w:eastAsia="de-CH"/>
              </w:rPr>
              <w:t xml:space="preserve">„Die Revisionsstelle prüft </w:t>
            </w:r>
            <w:proofErr w:type="gramStart"/>
            <w:r w:rsidRPr="00172E47">
              <w:rPr>
                <w:rFonts w:asciiTheme="minorHAnsi" w:eastAsiaTheme="minorEastAsia" w:hAnsiTheme="minorHAnsi"/>
                <w:szCs w:val="20"/>
                <w:lang w:val="de-CH" w:eastAsia="de-CH"/>
              </w:rPr>
              <w:t>……..</w:t>
            </w:r>
            <w:proofErr w:type="gramEnd"/>
            <w:r w:rsidRPr="00172E47">
              <w:rPr>
                <w:rFonts w:asciiTheme="minorHAnsi" w:eastAsiaTheme="minorEastAsia" w:hAnsiTheme="minorHAnsi"/>
                <w:szCs w:val="20"/>
                <w:lang w:val="de-CH" w:eastAsia="de-CH"/>
              </w:rPr>
              <w:t xml:space="preserve"> Handel mit Derivaten einzuhalten. </w:t>
            </w:r>
            <w:r w:rsidRPr="00172E47">
              <w:rPr>
                <w:rFonts w:asciiTheme="minorHAnsi" w:eastAsiaTheme="minorEastAsia" w:hAnsiTheme="minorHAnsi"/>
                <w:b/>
                <w:szCs w:val="20"/>
                <w:lang w:val="de-CH" w:eastAsia="de-CH"/>
              </w:rPr>
              <w:t>Es handelt sich bei dieser Prüfung um eine Funktionspr</w:t>
            </w:r>
            <w:r w:rsidRPr="00172E47">
              <w:rPr>
                <w:rFonts w:asciiTheme="minorHAnsi" w:eastAsiaTheme="minorEastAsia" w:hAnsiTheme="minorHAnsi"/>
                <w:b/>
                <w:szCs w:val="20"/>
                <w:lang w:val="de-CH" w:eastAsia="de-CH"/>
              </w:rPr>
              <w:t>ü</w:t>
            </w:r>
            <w:r w:rsidRPr="00172E47">
              <w:rPr>
                <w:rFonts w:asciiTheme="minorHAnsi" w:eastAsiaTheme="minorEastAsia" w:hAnsiTheme="minorHAnsi"/>
                <w:b/>
                <w:szCs w:val="20"/>
                <w:lang w:val="de-CH" w:eastAsia="de-CH"/>
              </w:rPr>
              <w:t>fung mit negativ formulierter Prüfung</w:t>
            </w:r>
            <w:r w:rsidRPr="00172E47">
              <w:rPr>
                <w:rFonts w:asciiTheme="minorHAnsi" w:eastAsiaTheme="minorEastAsia" w:hAnsiTheme="minorHAnsi"/>
                <w:b/>
                <w:szCs w:val="20"/>
                <w:lang w:val="de-CH" w:eastAsia="de-CH"/>
              </w:rPr>
              <w:t>s</w:t>
            </w:r>
            <w:r w:rsidRPr="00172E47">
              <w:rPr>
                <w:rFonts w:asciiTheme="minorHAnsi" w:eastAsiaTheme="minorEastAsia" w:hAnsiTheme="minorHAnsi"/>
                <w:b/>
                <w:szCs w:val="20"/>
                <w:lang w:val="de-CH" w:eastAsia="de-CH"/>
              </w:rPr>
              <w:t>aussage.“</w:t>
            </w:r>
          </w:p>
          <w:p w:rsidR="00172E47" w:rsidRPr="00172E47" w:rsidRDefault="00172E47" w:rsidP="00172E47">
            <w:pPr>
              <w:rPr>
                <w:rFonts w:asciiTheme="minorHAnsi" w:eastAsiaTheme="minorEastAsia" w:hAnsiTheme="minorHAnsi"/>
                <w:szCs w:val="20"/>
                <w:u w:val="single"/>
                <w:lang w:val="de-CH" w:eastAsia="de-CH"/>
              </w:rPr>
            </w:pPr>
            <w:r w:rsidRPr="00172E47">
              <w:rPr>
                <w:rFonts w:asciiTheme="minorHAnsi" w:eastAsiaTheme="minorEastAsia" w:hAnsiTheme="minorHAnsi"/>
                <w:szCs w:val="20"/>
                <w:u w:val="single"/>
                <w:lang w:val="de-CH" w:eastAsia="de-CH"/>
              </w:rPr>
              <w:t>Ergänzung in Art. 111 Abs. 2</w:t>
            </w:r>
          </w:p>
          <w:p w:rsidR="00172E47" w:rsidRPr="00172E47" w:rsidRDefault="00172E47" w:rsidP="00172E47">
            <w:pPr>
              <w:rPr>
                <w:rFonts w:asciiTheme="minorHAnsi" w:eastAsiaTheme="minorEastAsia" w:hAnsiTheme="minorHAnsi"/>
                <w:b/>
                <w:szCs w:val="20"/>
                <w:lang w:val="de-CH" w:eastAsia="de-CH"/>
              </w:rPr>
            </w:pPr>
            <w:r w:rsidRPr="00172E47">
              <w:rPr>
                <w:rFonts w:asciiTheme="minorHAnsi" w:eastAsiaTheme="minorEastAsia" w:hAnsiTheme="minorHAnsi"/>
                <w:szCs w:val="20"/>
                <w:lang w:val="de-CH" w:eastAsia="de-CH"/>
              </w:rPr>
              <w:t>„Sie trägt …. den Grundsätzen der risik</w:t>
            </w:r>
            <w:r w:rsidRPr="00172E47">
              <w:rPr>
                <w:rFonts w:asciiTheme="minorHAnsi" w:eastAsiaTheme="minorEastAsia" w:hAnsiTheme="minorHAnsi"/>
                <w:szCs w:val="20"/>
                <w:lang w:val="de-CH" w:eastAsia="de-CH"/>
              </w:rPr>
              <w:t>o</w:t>
            </w:r>
            <w:r w:rsidRPr="00172E47">
              <w:rPr>
                <w:rFonts w:asciiTheme="minorHAnsi" w:eastAsiaTheme="minorEastAsia" w:hAnsiTheme="minorHAnsi"/>
                <w:szCs w:val="20"/>
                <w:lang w:val="de-CH" w:eastAsia="de-CH"/>
              </w:rPr>
              <w:t xml:space="preserve">orientierten Prüfung ….. Rechnung. </w:t>
            </w:r>
            <w:r w:rsidRPr="00172E47">
              <w:rPr>
                <w:rFonts w:asciiTheme="minorHAnsi" w:eastAsiaTheme="minorEastAsia" w:hAnsiTheme="minorHAnsi"/>
                <w:b/>
                <w:szCs w:val="20"/>
                <w:lang w:val="de-CH" w:eastAsia="de-CH"/>
              </w:rPr>
              <w:t>Die Prüfung ist mindestens alle drei Jahre durchzuführen.“</w:t>
            </w:r>
          </w:p>
          <w:p w:rsidR="00172E47" w:rsidRPr="00172E47" w:rsidRDefault="00172E47" w:rsidP="00172E47">
            <w:pPr>
              <w:rPr>
                <w:rFonts w:asciiTheme="minorHAnsi" w:eastAsiaTheme="minorEastAsia" w:hAnsiTheme="minorHAnsi"/>
                <w:szCs w:val="20"/>
                <w:lang w:val="de-CH" w:eastAsia="de-CH"/>
              </w:rPr>
            </w:pPr>
          </w:p>
          <w:p w:rsidR="00172E47" w:rsidRPr="00172E47" w:rsidRDefault="00172E47" w:rsidP="00172E47">
            <w:pPr>
              <w:rPr>
                <w:rFonts w:asciiTheme="minorHAnsi" w:eastAsiaTheme="minorEastAsia" w:hAnsiTheme="minorHAnsi"/>
                <w:szCs w:val="20"/>
                <w:u w:val="single"/>
                <w:lang w:val="de-CH" w:eastAsia="de-CH"/>
              </w:rPr>
            </w:pPr>
          </w:p>
          <w:p w:rsidR="00172E47" w:rsidRPr="00172E47" w:rsidRDefault="00172E47" w:rsidP="00172E47">
            <w:pPr>
              <w:rPr>
                <w:rFonts w:asciiTheme="minorHAnsi" w:eastAsiaTheme="minorEastAsia" w:hAnsiTheme="minorHAnsi"/>
                <w:szCs w:val="20"/>
                <w:u w:val="single"/>
                <w:lang w:val="de-CH" w:eastAsia="de-CH"/>
              </w:rPr>
            </w:pPr>
          </w:p>
          <w:p w:rsidR="00172E47" w:rsidRPr="00172E47" w:rsidRDefault="00172E47" w:rsidP="00172E47">
            <w:pPr>
              <w:rPr>
                <w:rFonts w:asciiTheme="minorHAnsi" w:eastAsiaTheme="minorEastAsia" w:hAnsiTheme="minorHAnsi"/>
                <w:szCs w:val="20"/>
                <w:u w:val="single"/>
                <w:lang w:val="de-CH" w:eastAsia="de-CH"/>
              </w:rPr>
            </w:pPr>
            <w:r w:rsidRPr="00172E47">
              <w:rPr>
                <w:rFonts w:asciiTheme="minorHAnsi" w:eastAsiaTheme="minorEastAsia" w:hAnsiTheme="minorHAnsi"/>
                <w:szCs w:val="20"/>
                <w:u w:val="single"/>
                <w:lang w:val="de-CH" w:eastAsia="de-CH"/>
              </w:rPr>
              <w:t>Ergänzung in Art. 111 Abs. 4</w:t>
            </w:r>
          </w:p>
          <w:p w:rsidR="00172E47" w:rsidRPr="00172E47" w:rsidRDefault="00172E47" w:rsidP="00172E47">
            <w:pPr>
              <w:rPr>
                <w:rFonts w:asciiTheme="minorHAnsi" w:eastAsiaTheme="minorEastAsia" w:hAnsiTheme="minorHAnsi"/>
                <w:szCs w:val="20"/>
                <w:lang w:val="de-CH" w:eastAsia="de-CH"/>
              </w:rPr>
            </w:pPr>
            <w:r w:rsidRPr="00172E47">
              <w:rPr>
                <w:rFonts w:asciiTheme="minorHAnsi" w:eastAsiaTheme="minorEastAsia" w:hAnsiTheme="minorHAnsi"/>
                <w:szCs w:val="20"/>
                <w:lang w:val="de-CH" w:eastAsia="de-CH"/>
              </w:rPr>
              <w:t xml:space="preserve">„Die Revisionsstelle nach Art. 727a OR informiert das verantwortliche Organ des geprüften Unternehmens </w:t>
            </w:r>
            <w:r w:rsidRPr="00172E47">
              <w:rPr>
                <w:rFonts w:asciiTheme="minorHAnsi" w:eastAsiaTheme="minorEastAsia" w:hAnsiTheme="minorHAnsi"/>
                <w:b/>
                <w:dstrike/>
                <w:szCs w:val="20"/>
                <w:lang w:val="de-CH" w:eastAsia="de-CH"/>
              </w:rPr>
              <w:t>schriftlich</w:t>
            </w:r>
            <w:r w:rsidRPr="00172E47">
              <w:rPr>
                <w:rFonts w:asciiTheme="minorHAnsi" w:eastAsiaTheme="minorEastAsia" w:hAnsiTheme="minorHAnsi"/>
                <w:szCs w:val="20"/>
                <w:lang w:val="de-CH" w:eastAsia="de-CH"/>
              </w:rPr>
              <w:t xml:space="preserve"> über das Resultat der Prüfung “</w:t>
            </w:r>
          </w:p>
          <w:p w:rsidR="00172E47" w:rsidRPr="00172E47" w:rsidRDefault="00172E47" w:rsidP="00172E47">
            <w:pPr>
              <w:rPr>
                <w:rFonts w:asciiTheme="minorHAnsi" w:eastAsiaTheme="minorEastAsia" w:hAnsiTheme="minorHAnsi"/>
                <w:szCs w:val="20"/>
                <w:lang w:val="de-CH" w:eastAsia="de-CH"/>
              </w:rPr>
            </w:pPr>
          </w:p>
          <w:p w:rsidR="00172E47" w:rsidRPr="00172E47" w:rsidRDefault="00172E47" w:rsidP="00343817">
            <w:pPr>
              <w:pStyle w:val="KeinLeerraum"/>
              <w:rPr>
                <w:rFonts w:asciiTheme="minorHAnsi" w:hAnsiTheme="minorHAnsi" w:cstheme="minorHAnsi"/>
                <w:lang w:val="de-CH"/>
              </w:rPr>
            </w:pPr>
          </w:p>
        </w:tc>
        <w:tc>
          <w:tcPr>
            <w:tcW w:w="3827" w:type="dxa"/>
            <w:shd w:val="clear" w:color="auto" w:fill="auto"/>
          </w:tcPr>
          <w:p w:rsidR="00172E47" w:rsidRPr="00172E47" w:rsidRDefault="00172E47" w:rsidP="00343817">
            <w:pPr>
              <w:pStyle w:val="KeinLeerraum"/>
              <w:rPr>
                <w:rFonts w:asciiTheme="minorHAnsi" w:hAnsiTheme="minorHAnsi" w:cstheme="minorHAnsi"/>
                <w:lang w:val="de-CH"/>
              </w:rPr>
            </w:pPr>
            <w:r w:rsidRPr="00172E47">
              <w:rPr>
                <w:rFonts w:asciiTheme="minorHAnsi" w:hAnsiTheme="minorHAnsi" w:cstheme="minorHAnsi"/>
                <w:lang w:val="de-CH"/>
              </w:rPr>
              <w:t>Siehe Begleitschreiben.</w:t>
            </w:r>
          </w:p>
        </w:tc>
      </w:tr>
      <w:tr w:rsidR="00343817" w:rsidRPr="00103A2C"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lastRenderedPageBreak/>
              <w:t>4. Titel: Übergangs- und Schlussbestimmungen</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282D7A" w:rsidTr="003F2F22">
        <w:tc>
          <w:tcPr>
            <w:tcW w:w="4673"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Art. 127 Meldung an ein Transaktionsregister</w:t>
            </w:r>
          </w:p>
        </w:tc>
        <w:tc>
          <w:tcPr>
            <w:tcW w:w="4111"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c>
          <w:tcPr>
            <w:tcW w:w="3827" w:type="dxa"/>
            <w:shd w:val="clear" w:color="auto" w:fill="D9D9D9" w:themeFill="background2" w:themeFillShade="D9"/>
          </w:tcPr>
          <w:p w:rsidR="00343817" w:rsidRPr="00477502" w:rsidRDefault="00343817" w:rsidP="00343817">
            <w:pPr>
              <w:pStyle w:val="KeinLeerraum"/>
              <w:rPr>
                <w:rFonts w:asciiTheme="minorHAnsi" w:hAnsiTheme="minorHAnsi" w:cstheme="minorHAnsi"/>
                <w:lang w:val="de-CH"/>
              </w:rPr>
            </w:pPr>
          </w:p>
        </w:tc>
      </w:tr>
      <w:tr w:rsidR="00343817" w:rsidRPr="0070034B" w:rsidTr="0082313C">
        <w:tc>
          <w:tcPr>
            <w:tcW w:w="4673" w:type="dxa"/>
          </w:tcPr>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1 Die Pflicht…..: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nach 6 Monaten: für zu diesem Zeitpunkt off</w:t>
            </w:r>
            <w:r w:rsidRPr="00477502">
              <w:rPr>
                <w:rFonts w:asciiTheme="minorHAnsi" w:hAnsiTheme="minorHAnsi" w:cstheme="minorHAnsi"/>
                <w:lang w:val="de-CH"/>
              </w:rPr>
              <w:t>e</w:t>
            </w:r>
            <w:r w:rsidRPr="00477502">
              <w:rPr>
                <w:rFonts w:asciiTheme="minorHAnsi" w:hAnsiTheme="minorHAnsi" w:cstheme="minorHAnsi"/>
                <w:lang w:val="de-CH"/>
              </w:rPr>
              <w:t>ne Derivatgeschäfte, wenn die zur Meldung ve</w:t>
            </w:r>
            <w:r w:rsidRPr="00477502">
              <w:rPr>
                <w:rFonts w:asciiTheme="minorHAnsi" w:hAnsiTheme="minorHAnsi" w:cstheme="minorHAnsi"/>
                <w:lang w:val="de-CH"/>
              </w:rPr>
              <w:t>r</w:t>
            </w:r>
            <w:r w:rsidRPr="00477502">
              <w:rPr>
                <w:rFonts w:asciiTheme="minorHAnsi" w:hAnsiTheme="minorHAnsi" w:cstheme="minorHAnsi"/>
                <w:lang w:val="de-CH"/>
              </w:rPr>
              <w:t>pflichtete Person eine nicht kleine Finanzielle Gegenpartei oder eine zentrale Gegenpartei ist;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b. nach 9 Monaten: für zu diesem Zeitpunkt off</w:t>
            </w:r>
            <w:r w:rsidRPr="00477502">
              <w:rPr>
                <w:rFonts w:asciiTheme="minorHAnsi" w:hAnsiTheme="minorHAnsi" w:cstheme="minorHAnsi"/>
                <w:lang w:val="de-CH"/>
              </w:rPr>
              <w:t>e</w:t>
            </w:r>
            <w:r w:rsidRPr="00477502">
              <w:rPr>
                <w:rFonts w:asciiTheme="minorHAnsi" w:hAnsiTheme="minorHAnsi" w:cstheme="minorHAnsi"/>
                <w:lang w:val="de-CH"/>
              </w:rPr>
              <w:t>ne Derivatgeschäfte, wenn die zur Meldung ve</w:t>
            </w:r>
            <w:r w:rsidRPr="00477502">
              <w:rPr>
                <w:rFonts w:asciiTheme="minorHAnsi" w:hAnsiTheme="minorHAnsi" w:cstheme="minorHAnsi"/>
                <w:lang w:val="de-CH"/>
              </w:rPr>
              <w:t>r</w:t>
            </w:r>
            <w:r w:rsidRPr="00477502">
              <w:rPr>
                <w:rFonts w:asciiTheme="minorHAnsi" w:hAnsiTheme="minorHAnsi" w:cstheme="minorHAnsi"/>
                <w:lang w:val="de-CH"/>
              </w:rPr>
              <w:t>pflichtete Person eine kleine Finanzielle Gege</w:t>
            </w:r>
            <w:r w:rsidRPr="00477502">
              <w:rPr>
                <w:rFonts w:asciiTheme="minorHAnsi" w:hAnsiTheme="minorHAnsi" w:cstheme="minorHAnsi"/>
                <w:lang w:val="de-CH"/>
              </w:rPr>
              <w:t>n</w:t>
            </w:r>
            <w:r w:rsidRPr="00477502">
              <w:rPr>
                <w:rFonts w:asciiTheme="minorHAnsi" w:hAnsiTheme="minorHAnsi" w:cstheme="minorHAnsi"/>
                <w:lang w:val="de-CH"/>
              </w:rPr>
              <w:t>partei oder eine Nichtfinanzielle Gegenpartei, die nicht klein ist;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c. ….</w:t>
            </w:r>
          </w:p>
          <w:p w:rsidR="00343817" w:rsidRPr="00477502" w:rsidRDefault="00343817" w:rsidP="00343817">
            <w:pPr>
              <w:pStyle w:val="KeinLeerraum"/>
              <w:rPr>
                <w:rFonts w:asciiTheme="minorHAnsi" w:hAnsiTheme="minorHAnsi" w:cstheme="minorHAnsi"/>
                <w:lang w:val="de-CH"/>
              </w:rPr>
            </w:pPr>
          </w:p>
        </w:tc>
        <w:tc>
          <w:tcPr>
            <w:tcW w:w="4111" w:type="dxa"/>
            <w:shd w:val="clear" w:color="auto" w:fill="auto"/>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a. nach 6 Monaten: für zu diesem Zeitpunkt offene Derivatgeschäfte, wenn die zur Me</w:t>
            </w:r>
            <w:r w:rsidRPr="00477502">
              <w:rPr>
                <w:rFonts w:asciiTheme="minorHAnsi" w:hAnsiTheme="minorHAnsi" w:cstheme="minorHAnsi"/>
                <w:lang w:val="de-CH"/>
              </w:rPr>
              <w:t>l</w:t>
            </w:r>
            <w:r w:rsidRPr="00477502">
              <w:rPr>
                <w:rFonts w:asciiTheme="minorHAnsi" w:hAnsiTheme="minorHAnsi" w:cstheme="minorHAnsi"/>
                <w:lang w:val="de-CH"/>
              </w:rPr>
              <w:t xml:space="preserve">dung verpflichtete Person </w:t>
            </w:r>
            <w:r w:rsidRPr="00477502">
              <w:rPr>
                <w:rFonts w:asciiTheme="minorHAnsi" w:hAnsiTheme="minorHAnsi" w:cstheme="minorHAnsi"/>
                <w:b/>
                <w:lang w:val="de-CH"/>
              </w:rPr>
              <w:t>keine kleine</w:t>
            </w:r>
            <w:r w:rsidRPr="00477502">
              <w:rPr>
                <w:rFonts w:asciiTheme="minorHAnsi" w:hAnsiTheme="minorHAnsi" w:cstheme="minorHAnsi"/>
                <w:lang w:val="de-CH"/>
              </w:rPr>
              <w:t xml:space="preserve"> Finanzielle Gegenpartei oder eine zentrale Gegenpartei ist;</w:t>
            </w: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 b. nach 9 Monaten: für zu diesem Zei</w:t>
            </w:r>
            <w:r w:rsidRPr="00477502">
              <w:rPr>
                <w:rFonts w:asciiTheme="minorHAnsi" w:hAnsiTheme="minorHAnsi" w:cstheme="minorHAnsi"/>
                <w:lang w:val="de-CH"/>
              </w:rPr>
              <w:t>t</w:t>
            </w:r>
            <w:r w:rsidRPr="00477502">
              <w:rPr>
                <w:rFonts w:asciiTheme="minorHAnsi" w:hAnsiTheme="minorHAnsi" w:cstheme="minorHAnsi"/>
                <w:lang w:val="de-CH"/>
              </w:rPr>
              <w:t>punkt offene Derivatgeschäfte, wenn die zur Meldung verpflichtete Person eine kle</w:t>
            </w:r>
            <w:r w:rsidRPr="00477502">
              <w:rPr>
                <w:rFonts w:asciiTheme="minorHAnsi" w:hAnsiTheme="minorHAnsi" w:cstheme="minorHAnsi"/>
                <w:lang w:val="de-CH"/>
              </w:rPr>
              <w:t>i</w:t>
            </w:r>
            <w:r w:rsidRPr="00477502">
              <w:rPr>
                <w:rFonts w:asciiTheme="minorHAnsi" w:hAnsiTheme="minorHAnsi" w:cstheme="minorHAnsi"/>
                <w:lang w:val="de-CH"/>
              </w:rPr>
              <w:t>ne Finanzielle Gegenpartei oder eine Nich</w:t>
            </w:r>
            <w:r w:rsidRPr="00477502">
              <w:rPr>
                <w:rFonts w:asciiTheme="minorHAnsi" w:hAnsiTheme="minorHAnsi" w:cstheme="minorHAnsi"/>
                <w:lang w:val="de-CH"/>
              </w:rPr>
              <w:t>t</w:t>
            </w:r>
            <w:r w:rsidRPr="00477502">
              <w:rPr>
                <w:rFonts w:asciiTheme="minorHAnsi" w:hAnsiTheme="minorHAnsi" w:cstheme="minorHAnsi"/>
                <w:lang w:val="de-CH"/>
              </w:rPr>
              <w:t xml:space="preserve">finanzielle Gegenpartei, die nicht klein ist, </w:t>
            </w:r>
            <w:r w:rsidRPr="00477502">
              <w:rPr>
                <w:rFonts w:asciiTheme="minorHAnsi" w:hAnsiTheme="minorHAnsi" w:cstheme="minorHAnsi"/>
                <w:b/>
                <w:lang w:val="de-CH"/>
              </w:rPr>
              <w:t>ist</w:t>
            </w:r>
            <w:r w:rsidRPr="00477502">
              <w:rPr>
                <w:rFonts w:asciiTheme="minorHAnsi" w:hAnsiTheme="minorHAnsi" w:cstheme="minorHAnsi"/>
                <w:lang w:val="de-CH"/>
              </w:rPr>
              <w:t>;</w:t>
            </w:r>
          </w:p>
          <w:p w:rsidR="00343817" w:rsidRPr="00477502" w:rsidRDefault="00343817" w:rsidP="00343817">
            <w:pPr>
              <w:pStyle w:val="KeinLeerraum"/>
              <w:rPr>
                <w:rFonts w:asciiTheme="minorHAnsi" w:hAnsiTheme="minorHAnsi" w:cstheme="minorHAnsi"/>
                <w:lang w:val="de-CH"/>
              </w:rPr>
            </w:pPr>
          </w:p>
        </w:tc>
        <w:tc>
          <w:tcPr>
            <w:tcW w:w="3827" w:type="dxa"/>
          </w:tcPr>
          <w:p w:rsidR="00343817" w:rsidRPr="00477502" w:rsidRDefault="00343817" w:rsidP="00343817">
            <w:pPr>
              <w:pStyle w:val="KeinLeerraum"/>
              <w:rPr>
                <w:rFonts w:asciiTheme="minorHAnsi" w:hAnsiTheme="minorHAnsi" w:cstheme="minorHAnsi"/>
                <w:lang w:val="de-CH"/>
              </w:rPr>
            </w:pPr>
          </w:p>
          <w:p w:rsidR="00343817" w:rsidRPr="00477502" w:rsidRDefault="00343817" w:rsidP="00343817">
            <w:pPr>
              <w:pStyle w:val="KeinLeerraum"/>
              <w:rPr>
                <w:rFonts w:asciiTheme="minorHAnsi" w:hAnsiTheme="minorHAnsi" w:cstheme="minorHAnsi"/>
                <w:lang w:val="de-CH"/>
              </w:rPr>
            </w:pPr>
            <w:r w:rsidRPr="00477502">
              <w:rPr>
                <w:rFonts w:asciiTheme="minorHAnsi" w:hAnsiTheme="minorHAnsi" w:cstheme="minorHAnsi"/>
                <w:lang w:val="de-CH"/>
              </w:rPr>
              <w:t xml:space="preserve">U.E. verständlichere Formulierung. </w:t>
            </w:r>
          </w:p>
        </w:tc>
      </w:tr>
      <w:tr w:rsidR="00172E47" w:rsidRPr="0070034B" w:rsidTr="00172E47">
        <w:tc>
          <w:tcPr>
            <w:tcW w:w="4673" w:type="dxa"/>
            <w:shd w:val="clear" w:color="auto" w:fill="D9D9D9" w:themeFill="background1" w:themeFillShade="D9"/>
          </w:tcPr>
          <w:p w:rsidR="00172E47" w:rsidRPr="002E7C29" w:rsidRDefault="00172E47" w:rsidP="00E47EC1">
            <w:pPr>
              <w:pStyle w:val="KeinLeerraum"/>
              <w:rPr>
                <w:rFonts w:asciiTheme="minorHAnsi" w:hAnsiTheme="minorHAnsi" w:cstheme="minorHAnsi"/>
                <w:lang w:val="de-CH"/>
              </w:rPr>
            </w:pPr>
          </w:p>
        </w:tc>
        <w:tc>
          <w:tcPr>
            <w:tcW w:w="4111" w:type="dxa"/>
            <w:shd w:val="clear" w:color="auto" w:fill="D9D9D9" w:themeFill="background1" w:themeFillShade="D9"/>
          </w:tcPr>
          <w:p w:rsidR="00172E47" w:rsidRPr="00172E47" w:rsidRDefault="00172E47" w:rsidP="00E47EC1">
            <w:pPr>
              <w:pStyle w:val="KeinLeerraum"/>
              <w:rPr>
                <w:rFonts w:asciiTheme="minorHAnsi" w:hAnsiTheme="minorHAnsi" w:cstheme="minorHAnsi"/>
                <w:lang w:val="de-CH"/>
              </w:rPr>
            </w:pPr>
            <w:r w:rsidRPr="00172E47">
              <w:rPr>
                <w:rFonts w:asciiTheme="minorHAnsi" w:hAnsiTheme="minorHAnsi" w:cstheme="minorHAnsi"/>
                <w:b/>
                <w:szCs w:val="20"/>
              </w:rPr>
              <w:t>Art. 128a Prüfung</w:t>
            </w:r>
          </w:p>
        </w:tc>
        <w:tc>
          <w:tcPr>
            <w:tcW w:w="3827" w:type="dxa"/>
            <w:shd w:val="clear" w:color="auto" w:fill="D9D9D9" w:themeFill="background1" w:themeFillShade="D9"/>
          </w:tcPr>
          <w:p w:rsidR="00172E47" w:rsidRPr="002E7C29" w:rsidRDefault="00172E47" w:rsidP="00E47EC1">
            <w:pPr>
              <w:pStyle w:val="KeinLeerraum"/>
              <w:rPr>
                <w:rFonts w:asciiTheme="minorHAnsi" w:hAnsiTheme="minorHAnsi" w:cstheme="minorHAnsi"/>
                <w:lang w:val="de-CH"/>
              </w:rPr>
            </w:pPr>
          </w:p>
        </w:tc>
      </w:tr>
      <w:tr w:rsidR="00172E47" w:rsidRPr="00172E47" w:rsidTr="0082313C">
        <w:tc>
          <w:tcPr>
            <w:tcW w:w="4673" w:type="dxa"/>
          </w:tcPr>
          <w:p w:rsidR="00172E47" w:rsidRPr="002E7C29" w:rsidRDefault="00172E47" w:rsidP="00E47EC1">
            <w:pPr>
              <w:pStyle w:val="KeinLeerraum"/>
              <w:rPr>
                <w:rFonts w:asciiTheme="minorHAnsi" w:hAnsiTheme="minorHAnsi" w:cstheme="minorHAnsi"/>
                <w:lang w:val="de-CH"/>
              </w:rPr>
            </w:pPr>
          </w:p>
        </w:tc>
        <w:tc>
          <w:tcPr>
            <w:tcW w:w="4111" w:type="dxa"/>
            <w:shd w:val="clear" w:color="auto" w:fill="auto"/>
          </w:tcPr>
          <w:p w:rsidR="00172E47" w:rsidRPr="00172E47" w:rsidRDefault="00172E47" w:rsidP="00172E47">
            <w:pPr>
              <w:pStyle w:val="KeinLeerraum"/>
              <w:rPr>
                <w:rFonts w:asciiTheme="minorHAnsi" w:hAnsiTheme="minorHAnsi" w:cstheme="minorHAnsi"/>
                <w:b/>
                <w:lang w:val="de-CH"/>
              </w:rPr>
            </w:pPr>
            <w:r w:rsidRPr="00172E47">
              <w:rPr>
                <w:rFonts w:asciiTheme="minorHAnsi" w:hAnsiTheme="minorHAnsi" w:cstheme="minorHAnsi"/>
                <w:b/>
                <w:lang w:val="de-CH"/>
              </w:rPr>
              <w:t xml:space="preserve">1 Die Prüfpflichten der Revisionsstellen gelten nach 12 Monaten gerechnet ab dem Inkrafttreten dieser Verordnung. </w:t>
            </w:r>
          </w:p>
          <w:p w:rsidR="00172E47" w:rsidRPr="002E7C29" w:rsidRDefault="00172E47" w:rsidP="00172E47">
            <w:pPr>
              <w:pStyle w:val="KeinLeerraum"/>
              <w:rPr>
                <w:rFonts w:asciiTheme="minorHAnsi" w:hAnsiTheme="minorHAnsi" w:cstheme="minorHAnsi"/>
                <w:lang w:val="de-CH"/>
              </w:rPr>
            </w:pPr>
            <w:r w:rsidRPr="00172E47">
              <w:rPr>
                <w:rFonts w:asciiTheme="minorHAnsi" w:hAnsiTheme="minorHAnsi" w:cstheme="minorHAnsi"/>
                <w:b/>
                <w:lang w:val="de-CH"/>
              </w:rPr>
              <w:t>2 Für die Prüfpflichten der Prüfungsg</w:t>
            </w:r>
            <w:r w:rsidRPr="00172E47">
              <w:rPr>
                <w:rFonts w:asciiTheme="minorHAnsi" w:hAnsiTheme="minorHAnsi" w:cstheme="minorHAnsi"/>
                <w:b/>
                <w:lang w:val="de-CH"/>
              </w:rPr>
              <w:t>e</w:t>
            </w:r>
            <w:r w:rsidRPr="00172E47">
              <w:rPr>
                <w:rFonts w:asciiTheme="minorHAnsi" w:hAnsiTheme="minorHAnsi" w:cstheme="minorHAnsi"/>
                <w:b/>
                <w:lang w:val="de-CH"/>
              </w:rPr>
              <w:t>sellschaften regelt die FINMA das Vo</w:t>
            </w:r>
            <w:r w:rsidRPr="00172E47">
              <w:rPr>
                <w:rFonts w:asciiTheme="minorHAnsi" w:hAnsiTheme="minorHAnsi" w:cstheme="minorHAnsi"/>
                <w:b/>
                <w:lang w:val="de-CH"/>
              </w:rPr>
              <w:t>r</w:t>
            </w:r>
            <w:r w:rsidRPr="00172E47">
              <w:rPr>
                <w:rFonts w:asciiTheme="minorHAnsi" w:hAnsiTheme="minorHAnsi" w:cstheme="minorHAnsi"/>
                <w:b/>
                <w:lang w:val="de-CH"/>
              </w:rPr>
              <w:t>gehen.</w:t>
            </w:r>
          </w:p>
        </w:tc>
        <w:tc>
          <w:tcPr>
            <w:tcW w:w="3827" w:type="dxa"/>
          </w:tcPr>
          <w:p w:rsidR="00172E47" w:rsidRPr="00172E47" w:rsidRDefault="00172E47" w:rsidP="008904FB">
            <w:pPr>
              <w:pStyle w:val="KeinLeerraum"/>
              <w:rPr>
                <w:rFonts w:asciiTheme="minorHAnsi" w:hAnsiTheme="minorHAnsi" w:cstheme="minorHAnsi"/>
                <w:lang w:val="de-CH"/>
              </w:rPr>
            </w:pPr>
            <w:r w:rsidRPr="00172E47">
              <w:rPr>
                <w:rFonts w:asciiTheme="minorHAnsi" w:hAnsiTheme="minorHAnsi" w:cstheme="minorHAnsi"/>
                <w:lang w:val="de-CH"/>
              </w:rPr>
              <w:t>Siehe Begleitschreiben.</w:t>
            </w:r>
          </w:p>
        </w:tc>
      </w:tr>
    </w:tbl>
    <w:p w:rsidR="00172E47" w:rsidRDefault="00172E47">
      <w:r>
        <w:br w:type="page"/>
      </w:r>
    </w:p>
    <w:tbl>
      <w:tblPr>
        <w:tblStyle w:val="Tabellenraster"/>
        <w:tblW w:w="0" w:type="auto"/>
        <w:tblLook w:val="04A0" w:firstRow="1" w:lastRow="0" w:firstColumn="1" w:lastColumn="0" w:noHBand="0" w:noVBand="1"/>
      </w:tblPr>
      <w:tblGrid>
        <w:gridCol w:w="4673"/>
        <w:gridCol w:w="4111"/>
        <w:gridCol w:w="3827"/>
      </w:tblGrid>
      <w:tr w:rsidR="002E7C29" w:rsidRPr="0070034B" w:rsidTr="00172E47">
        <w:tc>
          <w:tcPr>
            <w:tcW w:w="4673" w:type="dxa"/>
            <w:shd w:val="clear" w:color="auto" w:fill="auto"/>
          </w:tcPr>
          <w:p w:rsidR="002E7C29" w:rsidRPr="00172E47" w:rsidRDefault="002E7C29" w:rsidP="00E47EC1">
            <w:pPr>
              <w:pStyle w:val="KeinLeerraum"/>
              <w:rPr>
                <w:rFonts w:asciiTheme="minorHAnsi" w:hAnsiTheme="minorHAnsi" w:cstheme="minorHAnsi"/>
                <w:b/>
                <w:lang w:val="de-CH"/>
              </w:rPr>
            </w:pPr>
            <w:r w:rsidRPr="00172E47">
              <w:rPr>
                <w:rFonts w:asciiTheme="minorHAnsi" w:hAnsiTheme="minorHAnsi" w:cstheme="minorHAnsi"/>
                <w:b/>
                <w:lang w:val="de-CH"/>
              </w:rPr>
              <w:lastRenderedPageBreak/>
              <w:t>Änderung anderer Erlasse</w:t>
            </w:r>
          </w:p>
        </w:tc>
        <w:tc>
          <w:tcPr>
            <w:tcW w:w="4111" w:type="dxa"/>
            <w:shd w:val="clear" w:color="auto" w:fill="auto"/>
          </w:tcPr>
          <w:p w:rsidR="002E7C29" w:rsidRPr="00172E47" w:rsidRDefault="002E7C29" w:rsidP="00E47EC1">
            <w:pPr>
              <w:pStyle w:val="KeinLeerraum"/>
              <w:rPr>
                <w:rFonts w:asciiTheme="minorHAnsi" w:hAnsiTheme="minorHAnsi" w:cstheme="minorHAnsi"/>
                <w:b/>
                <w:lang w:val="de-CH"/>
              </w:rPr>
            </w:pPr>
            <w:r w:rsidRPr="00172E47">
              <w:rPr>
                <w:rFonts w:asciiTheme="minorHAnsi" w:hAnsiTheme="minorHAnsi" w:cstheme="minorHAnsi"/>
                <w:b/>
                <w:lang w:val="de-CH"/>
              </w:rPr>
              <w:t>Anpassungsvorschläge</w:t>
            </w:r>
          </w:p>
        </w:tc>
        <w:tc>
          <w:tcPr>
            <w:tcW w:w="3827" w:type="dxa"/>
            <w:shd w:val="clear" w:color="auto" w:fill="auto"/>
          </w:tcPr>
          <w:p w:rsidR="002E7C29" w:rsidRPr="00172E47" w:rsidRDefault="002E7C29" w:rsidP="00E47EC1">
            <w:pPr>
              <w:pStyle w:val="KeinLeerraum"/>
              <w:rPr>
                <w:rFonts w:asciiTheme="minorHAnsi" w:hAnsiTheme="minorHAnsi" w:cstheme="minorHAnsi"/>
                <w:b/>
                <w:lang w:val="de-CH"/>
              </w:rPr>
            </w:pPr>
            <w:r w:rsidRPr="00172E47">
              <w:rPr>
                <w:rFonts w:asciiTheme="minorHAnsi" w:hAnsiTheme="minorHAnsi" w:cstheme="minorHAnsi"/>
                <w:b/>
                <w:lang w:val="de-CH"/>
              </w:rPr>
              <w:t>Begründung / Bemerkung</w:t>
            </w:r>
          </w:p>
        </w:tc>
      </w:tr>
      <w:tr w:rsidR="002E7C29" w:rsidRPr="0070034B" w:rsidTr="00172E47">
        <w:tc>
          <w:tcPr>
            <w:tcW w:w="4673" w:type="dxa"/>
            <w:shd w:val="clear" w:color="auto" w:fill="auto"/>
          </w:tcPr>
          <w:p w:rsidR="002E7C29" w:rsidRPr="00172E47" w:rsidRDefault="002E7C29" w:rsidP="00172E47">
            <w:pPr>
              <w:pStyle w:val="KeinLeerraum"/>
              <w:tabs>
                <w:tab w:val="left" w:pos="3680"/>
              </w:tabs>
              <w:rPr>
                <w:rFonts w:asciiTheme="minorHAnsi" w:hAnsiTheme="minorHAnsi" w:cstheme="minorHAnsi"/>
                <w:b/>
                <w:lang w:val="de-CH"/>
              </w:rPr>
            </w:pPr>
            <w:r w:rsidRPr="00172E47">
              <w:rPr>
                <w:rFonts w:asciiTheme="minorHAnsi" w:hAnsiTheme="minorHAnsi" w:cstheme="minorHAnsi"/>
                <w:b/>
                <w:lang w:val="de-CH"/>
              </w:rPr>
              <w:t>2. Revisionsaufsichtsverordnung</w:t>
            </w:r>
            <w:r w:rsidR="00172E47">
              <w:rPr>
                <w:rFonts w:asciiTheme="minorHAnsi" w:hAnsiTheme="minorHAnsi" w:cstheme="minorHAnsi"/>
                <w:b/>
                <w:lang w:val="de-CH"/>
              </w:rPr>
              <w:tab/>
            </w:r>
          </w:p>
        </w:tc>
        <w:tc>
          <w:tcPr>
            <w:tcW w:w="4111" w:type="dxa"/>
            <w:shd w:val="clear" w:color="auto" w:fill="auto"/>
          </w:tcPr>
          <w:p w:rsidR="002E7C29" w:rsidRPr="002E7C29" w:rsidRDefault="002E7C29" w:rsidP="00E47EC1">
            <w:pPr>
              <w:pStyle w:val="KeinLeerraum"/>
              <w:rPr>
                <w:rFonts w:asciiTheme="minorHAnsi" w:hAnsiTheme="minorHAnsi" w:cstheme="minorHAnsi"/>
                <w:lang w:val="de-CH"/>
              </w:rPr>
            </w:pPr>
          </w:p>
        </w:tc>
        <w:tc>
          <w:tcPr>
            <w:tcW w:w="3827" w:type="dxa"/>
            <w:shd w:val="clear" w:color="auto" w:fill="auto"/>
          </w:tcPr>
          <w:p w:rsidR="002E7C29" w:rsidRPr="002E7C29" w:rsidRDefault="002E7C29" w:rsidP="00E47EC1">
            <w:pPr>
              <w:pStyle w:val="KeinLeerraum"/>
              <w:rPr>
                <w:rFonts w:asciiTheme="minorHAnsi" w:hAnsiTheme="minorHAnsi" w:cstheme="minorHAnsi"/>
                <w:lang w:val="de-CH"/>
              </w:rPr>
            </w:pPr>
          </w:p>
        </w:tc>
      </w:tr>
      <w:tr w:rsidR="002E7C29" w:rsidRPr="0070034B" w:rsidTr="00172E47">
        <w:tc>
          <w:tcPr>
            <w:tcW w:w="4673" w:type="dxa"/>
            <w:shd w:val="clear" w:color="auto" w:fill="D9D9D9" w:themeFill="background1" w:themeFillShade="D9"/>
          </w:tcPr>
          <w:p w:rsidR="002E7C29" w:rsidRPr="00172E47" w:rsidRDefault="002E7C29" w:rsidP="00E47EC1">
            <w:pPr>
              <w:pStyle w:val="KeinLeerraum"/>
              <w:rPr>
                <w:rFonts w:asciiTheme="minorHAnsi" w:hAnsiTheme="minorHAnsi" w:cstheme="minorHAnsi"/>
              </w:rPr>
            </w:pPr>
            <w:r w:rsidRPr="00172E47">
              <w:rPr>
                <w:rFonts w:asciiTheme="minorHAnsi" w:hAnsiTheme="minorHAnsi" w:cstheme="minorHAnsi"/>
                <w:i/>
              </w:rPr>
              <w:t xml:space="preserve">Art. 11a Abs. 1 Bst. </w:t>
            </w:r>
            <w:r w:rsidRPr="00172E47">
              <w:rPr>
                <w:rFonts w:asciiTheme="minorHAnsi" w:hAnsiTheme="minorHAnsi" w:cstheme="minorHAnsi"/>
                <w:i/>
                <w:iCs/>
              </w:rPr>
              <w:t>a</w:t>
            </w:r>
          </w:p>
        </w:tc>
        <w:tc>
          <w:tcPr>
            <w:tcW w:w="4111" w:type="dxa"/>
            <w:shd w:val="clear" w:color="auto" w:fill="D9D9D9" w:themeFill="background1" w:themeFillShade="D9"/>
          </w:tcPr>
          <w:p w:rsidR="002E7C29" w:rsidRPr="002E7C29" w:rsidRDefault="002E7C29" w:rsidP="00E47EC1">
            <w:pPr>
              <w:pStyle w:val="KeinLeerraum"/>
              <w:rPr>
                <w:rFonts w:asciiTheme="minorHAnsi" w:hAnsiTheme="minorHAnsi" w:cstheme="minorHAnsi"/>
              </w:rPr>
            </w:pPr>
          </w:p>
        </w:tc>
        <w:tc>
          <w:tcPr>
            <w:tcW w:w="3827" w:type="dxa"/>
            <w:shd w:val="clear" w:color="auto" w:fill="D9D9D9" w:themeFill="background1" w:themeFillShade="D9"/>
          </w:tcPr>
          <w:p w:rsidR="002E7C29" w:rsidRPr="002E7C29" w:rsidRDefault="002E7C29" w:rsidP="00E47EC1">
            <w:pPr>
              <w:pStyle w:val="KeinLeerraum"/>
              <w:rPr>
                <w:rFonts w:asciiTheme="minorHAnsi" w:hAnsiTheme="minorHAnsi" w:cstheme="minorHAnsi"/>
              </w:rPr>
            </w:pPr>
          </w:p>
        </w:tc>
      </w:tr>
      <w:tr w:rsidR="002E7C29" w:rsidRPr="00282D7A" w:rsidTr="00477502">
        <w:tc>
          <w:tcPr>
            <w:tcW w:w="4673" w:type="dxa"/>
          </w:tcPr>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1 Die Aufsichtsbehörde erteilt Zulassungen an staatlich beaufsichtigte Revisionsunternehmen</w:t>
            </w:r>
          </w:p>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sowie an leitende Prüferinnen und leitende Prüfer für die Prüfung nach den Finanzmarktgesetzen für folgende Aufsichtsbereiche:</w:t>
            </w:r>
          </w:p>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a. Banken gemäss Bankengesetz vom 8. Nove</w:t>
            </w:r>
            <w:r w:rsidRPr="002E7C29">
              <w:rPr>
                <w:rFonts w:asciiTheme="minorHAnsi" w:hAnsiTheme="minorHAnsi" w:cstheme="minorHAnsi"/>
                <w:lang w:val="de-CH"/>
              </w:rPr>
              <w:t>m</w:t>
            </w:r>
            <w:r w:rsidRPr="002E7C29">
              <w:rPr>
                <w:rFonts w:asciiTheme="minorHAnsi" w:hAnsiTheme="minorHAnsi" w:cstheme="minorHAnsi"/>
                <w:lang w:val="de-CH"/>
              </w:rPr>
              <w:t>ber 1934, Finanzmarktinfrastrukturen,</w:t>
            </w:r>
          </w:p>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Finanzgruppen und öffentliche Kaufangebote gemäss Finanzmarktinfrastrukturgesetz vom 19. Juni 2015, Effektenhändler gemäss Börsengesetz</w:t>
            </w:r>
          </w:p>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vom 24. März 1995 und Pfandbriefzentralen g</w:t>
            </w:r>
            <w:r w:rsidRPr="002E7C29">
              <w:rPr>
                <w:rFonts w:asciiTheme="minorHAnsi" w:hAnsiTheme="minorHAnsi" w:cstheme="minorHAnsi"/>
                <w:lang w:val="de-CH"/>
              </w:rPr>
              <w:t>e</w:t>
            </w:r>
            <w:r w:rsidRPr="002E7C29">
              <w:rPr>
                <w:rFonts w:asciiTheme="minorHAnsi" w:hAnsiTheme="minorHAnsi" w:cstheme="minorHAnsi"/>
                <w:lang w:val="de-CH"/>
              </w:rPr>
              <w:t>mäss Pfandbriefgesetz vom 25. Juni 1930;</w:t>
            </w:r>
          </w:p>
        </w:tc>
        <w:tc>
          <w:tcPr>
            <w:tcW w:w="4111" w:type="dxa"/>
          </w:tcPr>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1 Die Aufsichtsbehörde erteilt Zulassungen an staatlich beaufsichtigte Revisionsunte</w:t>
            </w:r>
            <w:r w:rsidRPr="002E7C29">
              <w:rPr>
                <w:rFonts w:asciiTheme="minorHAnsi" w:hAnsiTheme="minorHAnsi" w:cstheme="minorHAnsi"/>
                <w:lang w:val="de-CH"/>
              </w:rPr>
              <w:t>r</w:t>
            </w:r>
            <w:r w:rsidRPr="002E7C29">
              <w:rPr>
                <w:rFonts w:asciiTheme="minorHAnsi" w:hAnsiTheme="minorHAnsi" w:cstheme="minorHAnsi"/>
                <w:lang w:val="de-CH"/>
              </w:rPr>
              <w:t>nehmen sowie an leitende Prüferinnen und leitende Prüfer für die Prüfung nach den Finanzmarktgesetzen für folgende Au</w:t>
            </w:r>
            <w:r w:rsidRPr="002E7C29">
              <w:rPr>
                <w:rFonts w:asciiTheme="minorHAnsi" w:hAnsiTheme="minorHAnsi" w:cstheme="minorHAnsi"/>
                <w:lang w:val="de-CH"/>
              </w:rPr>
              <w:t>f</w:t>
            </w:r>
            <w:r w:rsidRPr="002E7C29">
              <w:rPr>
                <w:rFonts w:asciiTheme="minorHAnsi" w:hAnsiTheme="minorHAnsi" w:cstheme="minorHAnsi"/>
                <w:lang w:val="de-CH"/>
              </w:rPr>
              <w:t>sichtsbereiche:</w:t>
            </w:r>
          </w:p>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a. Banken gemäss Bankengesetz vom 8. November 1934, Finanzmarktinfrastrukt</w:t>
            </w:r>
            <w:r w:rsidRPr="002E7C29">
              <w:rPr>
                <w:rFonts w:asciiTheme="minorHAnsi" w:hAnsiTheme="minorHAnsi" w:cstheme="minorHAnsi"/>
                <w:lang w:val="de-CH"/>
              </w:rPr>
              <w:t>u</w:t>
            </w:r>
            <w:r w:rsidRPr="002E7C29">
              <w:rPr>
                <w:rFonts w:asciiTheme="minorHAnsi" w:hAnsiTheme="minorHAnsi" w:cstheme="minorHAnsi"/>
                <w:lang w:val="de-CH"/>
              </w:rPr>
              <w:t xml:space="preserve">ren </w:t>
            </w:r>
            <w:r w:rsidRPr="002E7C29">
              <w:rPr>
                <w:rFonts w:asciiTheme="minorHAnsi" w:hAnsiTheme="minorHAnsi" w:cstheme="minorHAnsi"/>
                <w:b/>
                <w:lang w:val="de-CH"/>
              </w:rPr>
              <w:t>und</w:t>
            </w:r>
            <w:r w:rsidRPr="002E7C29">
              <w:rPr>
                <w:rFonts w:asciiTheme="minorHAnsi" w:hAnsiTheme="minorHAnsi" w:cstheme="minorHAnsi"/>
                <w:lang w:val="de-CH"/>
              </w:rPr>
              <w:t xml:space="preserve"> Finanzgruppen </w:t>
            </w:r>
            <w:r w:rsidRPr="002E7C29">
              <w:rPr>
                <w:rFonts w:asciiTheme="minorHAnsi" w:hAnsiTheme="minorHAnsi" w:cstheme="minorHAnsi"/>
                <w:b/>
                <w:strike/>
                <w:lang w:val="de-CH"/>
              </w:rPr>
              <w:t>und öffentliche Kaufangebote</w:t>
            </w:r>
            <w:r w:rsidRPr="002E7C29">
              <w:rPr>
                <w:rFonts w:asciiTheme="minorHAnsi" w:hAnsiTheme="minorHAnsi" w:cstheme="minorHAnsi"/>
                <w:lang w:val="de-CH"/>
              </w:rPr>
              <w:t xml:space="preserve"> gemäss Finanzmarktinfr</w:t>
            </w:r>
            <w:r w:rsidRPr="002E7C29">
              <w:rPr>
                <w:rFonts w:asciiTheme="minorHAnsi" w:hAnsiTheme="minorHAnsi" w:cstheme="minorHAnsi"/>
                <w:lang w:val="de-CH"/>
              </w:rPr>
              <w:t>a</w:t>
            </w:r>
            <w:r w:rsidRPr="002E7C29">
              <w:rPr>
                <w:rFonts w:asciiTheme="minorHAnsi" w:hAnsiTheme="minorHAnsi" w:cstheme="minorHAnsi"/>
                <w:lang w:val="de-CH"/>
              </w:rPr>
              <w:t>strukturgesetz vom 19. Juni 2015, Effe</w:t>
            </w:r>
            <w:r w:rsidRPr="002E7C29">
              <w:rPr>
                <w:rFonts w:asciiTheme="minorHAnsi" w:hAnsiTheme="minorHAnsi" w:cstheme="minorHAnsi"/>
                <w:lang w:val="de-CH"/>
              </w:rPr>
              <w:t>k</w:t>
            </w:r>
            <w:r w:rsidRPr="002E7C29">
              <w:rPr>
                <w:rFonts w:asciiTheme="minorHAnsi" w:hAnsiTheme="minorHAnsi" w:cstheme="minorHAnsi"/>
                <w:lang w:val="de-CH"/>
              </w:rPr>
              <w:t>tenhändler gemäss Börsengesetz vom 24. März 1995 und Pfandbriefzentralen gemäss Pfandbriefgesetz vom 25. Juni 1930;</w:t>
            </w:r>
          </w:p>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w:t>
            </w:r>
          </w:p>
          <w:p w:rsidR="002E7C29" w:rsidRPr="002E7C29" w:rsidRDefault="002E7C29" w:rsidP="00E47EC1">
            <w:pPr>
              <w:pStyle w:val="KeinLeerraum"/>
              <w:rPr>
                <w:rFonts w:asciiTheme="minorHAnsi" w:hAnsiTheme="minorHAnsi" w:cstheme="minorHAnsi"/>
                <w:b/>
                <w:iCs/>
                <w:lang w:val="de-CH"/>
              </w:rPr>
            </w:pPr>
          </w:p>
          <w:p w:rsidR="002E7C29" w:rsidRPr="002E7C29" w:rsidRDefault="002E7C29" w:rsidP="00E47EC1">
            <w:pPr>
              <w:pStyle w:val="KeinLeerraum"/>
              <w:rPr>
                <w:rFonts w:asciiTheme="minorHAnsi" w:hAnsiTheme="minorHAnsi" w:cstheme="minorHAnsi"/>
                <w:b/>
                <w:iCs/>
                <w:lang w:val="de-CH"/>
              </w:rPr>
            </w:pPr>
          </w:p>
          <w:p w:rsidR="002E7C29" w:rsidRPr="002E7C29" w:rsidRDefault="002E7C29" w:rsidP="00E47EC1">
            <w:pPr>
              <w:pStyle w:val="KeinLeerraum"/>
              <w:rPr>
                <w:rFonts w:asciiTheme="minorHAnsi" w:hAnsiTheme="minorHAnsi" w:cstheme="minorHAnsi"/>
                <w:b/>
                <w:iCs/>
                <w:lang w:val="de-CH"/>
              </w:rPr>
            </w:pPr>
          </w:p>
          <w:p w:rsidR="002E7C29" w:rsidRPr="002E7C29" w:rsidRDefault="002E7C29" w:rsidP="00E47EC1">
            <w:pPr>
              <w:pStyle w:val="KeinLeerraum"/>
              <w:rPr>
                <w:rFonts w:asciiTheme="minorHAnsi" w:hAnsiTheme="minorHAnsi" w:cstheme="minorHAnsi"/>
                <w:b/>
                <w:iCs/>
                <w:lang w:val="de-CH"/>
              </w:rPr>
            </w:pPr>
          </w:p>
          <w:p w:rsidR="002E7C29" w:rsidRPr="002E7C29" w:rsidRDefault="002E7C29" w:rsidP="00E47EC1">
            <w:pPr>
              <w:pStyle w:val="KeinLeerraum"/>
              <w:rPr>
                <w:rFonts w:asciiTheme="minorHAnsi" w:hAnsiTheme="minorHAnsi" w:cstheme="minorHAnsi"/>
                <w:b/>
                <w:iCs/>
                <w:lang w:val="de-CH"/>
              </w:rPr>
            </w:pPr>
          </w:p>
          <w:p w:rsidR="002E7C29" w:rsidRPr="002E7C29" w:rsidRDefault="002E7C29" w:rsidP="00E47EC1">
            <w:pPr>
              <w:pStyle w:val="KeinLeerraum"/>
              <w:rPr>
                <w:rFonts w:asciiTheme="minorHAnsi" w:hAnsiTheme="minorHAnsi" w:cstheme="minorHAnsi"/>
                <w:b/>
                <w:iCs/>
                <w:lang w:val="de-CH"/>
              </w:rPr>
            </w:pPr>
          </w:p>
          <w:p w:rsidR="002E7C29" w:rsidRPr="002E7C29" w:rsidRDefault="002E7C29" w:rsidP="00E47EC1">
            <w:pPr>
              <w:pStyle w:val="KeinLeerraum"/>
              <w:rPr>
                <w:rFonts w:asciiTheme="minorHAnsi" w:hAnsiTheme="minorHAnsi" w:cstheme="minorHAnsi"/>
                <w:b/>
                <w:iCs/>
                <w:lang w:val="de-CH"/>
              </w:rPr>
            </w:pPr>
          </w:p>
          <w:p w:rsidR="002E7C29" w:rsidRPr="002E7C29" w:rsidRDefault="002E7C29" w:rsidP="00E47EC1">
            <w:pPr>
              <w:pStyle w:val="KeinLeerraum"/>
              <w:rPr>
                <w:rFonts w:asciiTheme="minorHAnsi" w:hAnsiTheme="minorHAnsi" w:cstheme="minorHAnsi"/>
                <w:b/>
                <w:iCs/>
                <w:lang w:val="de-CH"/>
              </w:rPr>
            </w:pPr>
          </w:p>
          <w:p w:rsidR="00172E47" w:rsidRDefault="00172E47" w:rsidP="00E47EC1">
            <w:pPr>
              <w:pStyle w:val="KeinLeerraum"/>
              <w:rPr>
                <w:rFonts w:asciiTheme="minorHAnsi" w:hAnsiTheme="minorHAnsi" w:cstheme="minorHAnsi"/>
                <w:b/>
                <w:iCs/>
                <w:lang w:val="de-CH"/>
              </w:rPr>
            </w:pPr>
          </w:p>
          <w:p w:rsidR="002E7C29" w:rsidRPr="002E7C29" w:rsidRDefault="002E7C29" w:rsidP="00E47EC1">
            <w:pPr>
              <w:pStyle w:val="KeinLeerraum"/>
              <w:rPr>
                <w:rFonts w:asciiTheme="minorHAnsi" w:hAnsiTheme="minorHAnsi" w:cstheme="minorHAnsi"/>
                <w:b/>
                <w:iCs/>
                <w:lang w:val="de-CH"/>
              </w:rPr>
            </w:pPr>
            <w:r w:rsidRPr="002E7C29">
              <w:rPr>
                <w:rFonts w:asciiTheme="minorHAnsi" w:hAnsiTheme="minorHAnsi" w:cstheme="minorHAnsi"/>
                <w:b/>
                <w:iCs/>
                <w:lang w:val="de-CH"/>
              </w:rPr>
              <w:t>Alternativ:</w:t>
            </w:r>
          </w:p>
          <w:p w:rsidR="002E7C29" w:rsidRPr="002E7C29" w:rsidRDefault="002E7C29" w:rsidP="00E47EC1">
            <w:pPr>
              <w:pStyle w:val="KeinLeerraum"/>
              <w:rPr>
                <w:rFonts w:asciiTheme="minorHAnsi" w:hAnsiTheme="minorHAnsi" w:cstheme="minorHAnsi"/>
                <w:b/>
                <w:lang w:val="de-CH"/>
              </w:rPr>
            </w:pPr>
            <w:r w:rsidRPr="002E7C29">
              <w:rPr>
                <w:rFonts w:asciiTheme="minorHAnsi" w:hAnsiTheme="minorHAnsi" w:cstheme="minorHAnsi"/>
                <w:b/>
                <w:lang w:val="de-CH"/>
              </w:rPr>
              <w:t>e. Prüfgesellschaften, die über eine Z</w:t>
            </w:r>
            <w:r w:rsidRPr="002E7C29">
              <w:rPr>
                <w:rFonts w:asciiTheme="minorHAnsi" w:hAnsiTheme="minorHAnsi" w:cstheme="minorHAnsi"/>
                <w:b/>
                <w:lang w:val="de-CH"/>
              </w:rPr>
              <w:t>u</w:t>
            </w:r>
            <w:r w:rsidRPr="002E7C29">
              <w:rPr>
                <w:rFonts w:asciiTheme="minorHAnsi" w:hAnsiTheme="minorHAnsi" w:cstheme="minorHAnsi"/>
                <w:b/>
                <w:lang w:val="de-CH"/>
              </w:rPr>
              <w:t>lassung nach Bst. a – c verfügen sind zur Prüfung öffentlicher Kaufangebote zugelassen.</w:t>
            </w:r>
          </w:p>
        </w:tc>
        <w:tc>
          <w:tcPr>
            <w:tcW w:w="3827" w:type="dxa"/>
          </w:tcPr>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Art. 25 BEHG wurde mit identischem Wortlaut in Art. 128 FinfraG überführt und bestimmt, dass das öffentliche Kaufangebot einer zugelassenen Prü</w:t>
            </w:r>
            <w:r w:rsidRPr="002E7C29">
              <w:rPr>
                <w:rFonts w:asciiTheme="minorHAnsi" w:hAnsiTheme="minorHAnsi" w:cstheme="minorHAnsi"/>
                <w:lang w:val="de-CH"/>
              </w:rPr>
              <w:t>f</w:t>
            </w:r>
            <w:r w:rsidRPr="002E7C29">
              <w:rPr>
                <w:rFonts w:asciiTheme="minorHAnsi" w:hAnsiTheme="minorHAnsi" w:cstheme="minorHAnsi"/>
                <w:lang w:val="de-CH"/>
              </w:rPr>
              <w:t>gesellschaft oder einem Effektenhändler zur Prüfung zu unterbreiten ist. Art. 25 BEHG wurde seit dem Inkrafttreten des BEHG lediglich formell an die wechsel</w:t>
            </w:r>
            <w:r w:rsidRPr="002E7C29">
              <w:rPr>
                <w:rFonts w:asciiTheme="minorHAnsi" w:hAnsiTheme="minorHAnsi" w:cstheme="minorHAnsi"/>
                <w:lang w:val="de-CH"/>
              </w:rPr>
              <w:t>n</w:t>
            </w:r>
            <w:r w:rsidRPr="002E7C29">
              <w:rPr>
                <w:rFonts w:asciiTheme="minorHAnsi" w:hAnsiTheme="minorHAnsi" w:cstheme="minorHAnsi"/>
                <w:lang w:val="de-CH"/>
              </w:rPr>
              <w:t>den, für die Zulassung zuständigen B</w:t>
            </w:r>
            <w:r w:rsidRPr="002E7C29">
              <w:rPr>
                <w:rFonts w:asciiTheme="minorHAnsi" w:hAnsiTheme="minorHAnsi" w:cstheme="minorHAnsi"/>
                <w:lang w:val="de-CH"/>
              </w:rPr>
              <w:t>e</w:t>
            </w:r>
            <w:r w:rsidRPr="002E7C29">
              <w:rPr>
                <w:rFonts w:asciiTheme="minorHAnsi" w:hAnsiTheme="minorHAnsi" w:cstheme="minorHAnsi"/>
                <w:lang w:val="de-CH"/>
              </w:rPr>
              <w:t>hörden (EBK, FINMA, RAB), angepasst, ist aber materiell stets gleich geblieben. Ein Bezug auf Aufsichtsbereiche ist im Gesetz nicht vorgesehen. Gleicherma</w:t>
            </w:r>
            <w:r w:rsidRPr="002E7C29">
              <w:rPr>
                <w:rFonts w:asciiTheme="minorHAnsi" w:hAnsiTheme="minorHAnsi" w:cstheme="minorHAnsi"/>
                <w:lang w:val="de-CH"/>
              </w:rPr>
              <w:t>s</w:t>
            </w:r>
            <w:r w:rsidRPr="002E7C29">
              <w:rPr>
                <w:rFonts w:asciiTheme="minorHAnsi" w:hAnsiTheme="minorHAnsi" w:cstheme="minorHAnsi"/>
                <w:lang w:val="de-CH"/>
              </w:rPr>
              <w:t>sen fehlt eine Bestimmung über leitende Prüfer (vgl. nachstehend). Für die Z</w:t>
            </w:r>
            <w:r w:rsidRPr="002E7C29">
              <w:rPr>
                <w:rFonts w:asciiTheme="minorHAnsi" w:hAnsiTheme="minorHAnsi" w:cstheme="minorHAnsi"/>
                <w:lang w:val="de-CH"/>
              </w:rPr>
              <w:t>u</w:t>
            </w:r>
            <w:r w:rsidRPr="002E7C29">
              <w:rPr>
                <w:rFonts w:asciiTheme="minorHAnsi" w:hAnsiTheme="minorHAnsi" w:cstheme="minorHAnsi"/>
                <w:lang w:val="de-CH"/>
              </w:rPr>
              <w:t>lassung zur Prüfung von öffentliche</w:t>
            </w:r>
            <w:r>
              <w:rPr>
                <w:rFonts w:asciiTheme="minorHAnsi" w:hAnsiTheme="minorHAnsi" w:cstheme="minorHAnsi"/>
                <w:lang w:val="de-CH"/>
              </w:rPr>
              <w:t>n</w:t>
            </w:r>
            <w:r w:rsidRPr="002E7C29">
              <w:rPr>
                <w:rFonts w:asciiTheme="minorHAnsi" w:hAnsiTheme="minorHAnsi" w:cstheme="minorHAnsi"/>
                <w:lang w:val="de-CH"/>
              </w:rPr>
              <w:t xml:space="preserve"> Kaufangebote</w:t>
            </w:r>
            <w:r>
              <w:rPr>
                <w:rFonts w:asciiTheme="minorHAnsi" w:hAnsiTheme="minorHAnsi" w:cstheme="minorHAnsi"/>
                <w:lang w:val="de-CH"/>
              </w:rPr>
              <w:t>n</w:t>
            </w:r>
            <w:r w:rsidRPr="002E7C29">
              <w:rPr>
                <w:rFonts w:asciiTheme="minorHAnsi" w:hAnsiTheme="minorHAnsi" w:cstheme="minorHAnsi"/>
                <w:lang w:val="de-CH"/>
              </w:rPr>
              <w:t xml:space="preserve"> bestand und besteht auch heute kein Bedarf für eine über die Bestimmung von Art. 128 FinfraG hi</w:t>
            </w:r>
            <w:r w:rsidRPr="002E7C29">
              <w:rPr>
                <w:rFonts w:asciiTheme="minorHAnsi" w:hAnsiTheme="minorHAnsi" w:cstheme="minorHAnsi"/>
                <w:lang w:val="de-CH"/>
              </w:rPr>
              <w:t>n</w:t>
            </w:r>
            <w:r w:rsidRPr="002E7C29">
              <w:rPr>
                <w:rFonts w:asciiTheme="minorHAnsi" w:hAnsiTheme="minorHAnsi" w:cstheme="minorHAnsi"/>
                <w:lang w:val="de-CH"/>
              </w:rPr>
              <w:t>ausgehende Regelung. Die Erwähnung von „öffentlichen Kaufangeboten in di</w:t>
            </w:r>
            <w:r w:rsidRPr="002E7C29">
              <w:rPr>
                <w:rFonts w:asciiTheme="minorHAnsi" w:hAnsiTheme="minorHAnsi" w:cstheme="minorHAnsi"/>
                <w:lang w:val="de-CH"/>
              </w:rPr>
              <w:t>e</w:t>
            </w:r>
            <w:r w:rsidRPr="002E7C29">
              <w:rPr>
                <w:rFonts w:asciiTheme="minorHAnsi" w:hAnsiTheme="minorHAnsi" w:cstheme="minorHAnsi"/>
                <w:lang w:val="de-CH"/>
              </w:rPr>
              <w:t xml:space="preserve">sem Artikel ist somit </w:t>
            </w:r>
            <w:r w:rsidRPr="002E7C29">
              <w:rPr>
                <w:rFonts w:asciiTheme="minorHAnsi" w:hAnsiTheme="minorHAnsi" w:cstheme="minorHAnsi"/>
                <w:b/>
                <w:lang w:val="de-CH"/>
              </w:rPr>
              <w:t>ersatzlos zu stre</w:t>
            </w:r>
            <w:r w:rsidRPr="002E7C29">
              <w:rPr>
                <w:rFonts w:asciiTheme="minorHAnsi" w:hAnsiTheme="minorHAnsi" w:cstheme="minorHAnsi"/>
                <w:b/>
                <w:lang w:val="de-CH"/>
              </w:rPr>
              <w:t>i</w:t>
            </w:r>
            <w:r w:rsidRPr="002E7C29">
              <w:rPr>
                <w:rFonts w:asciiTheme="minorHAnsi" w:hAnsiTheme="minorHAnsi" w:cstheme="minorHAnsi"/>
                <w:b/>
                <w:lang w:val="de-CH"/>
              </w:rPr>
              <w:t>chen</w:t>
            </w:r>
            <w:r w:rsidRPr="002E7C29">
              <w:rPr>
                <w:rFonts w:asciiTheme="minorHAnsi" w:hAnsiTheme="minorHAnsi" w:cstheme="minorHAnsi"/>
                <w:lang w:val="de-CH"/>
              </w:rPr>
              <w:t>.</w:t>
            </w:r>
          </w:p>
          <w:p w:rsidR="002E7C29" w:rsidRPr="002E7C29" w:rsidRDefault="002E7C29" w:rsidP="00E47EC1">
            <w:pPr>
              <w:pStyle w:val="KeinLeerraum"/>
              <w:rPr>
                <w:rFonts w:asciiTheme="minorHAnsi" w:hAnsiTheme="minorHAnsi" w:cstheme="minorHAnsi"/>
                <w:lang w:val="de-CH"/>
              </w:rPr>
            </w:pPr>
          </w:p>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Alternativ:</w:t>
            </w:r>
          </w:p>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Sollte eine Regelung trotzdem als no</w:t>
            </w:r>
            <w:r w:rsidRPr="002E7C29">
              <w:rPr>
                <w:rFonts w:asciiTheme="minorHAnsi" w:hAnsiTheme="minorHAnsi" w:cstheme="minorHAnsi"/>
                <w:lang w:val="de-CH"/>
              </w:rPr>
              <w:t>t</w:t>
            </w:r>
            <w:r w:rsidRPr="002E7C29">
              <w:rPr>
                <w:rFonts w:asciiTheme="minorHAnsi" w:hAnsiTheme="minorHAnsi" w:cstheme="minorHAnsi"/>
                <w:lang w:val="de-CH"/>
              </w:rPr>
              <w:t>wendig erachtet werden, so muss diese separat erfolgen. Die Population von zugelassenen Prüfgesellschaften variiert je nach Aufsichtsbereich, was zu b</w:t>
            </w:r>
            <w:r w:rsidRPr="002E7C29">
              <w:rPr>
                <w:rFonts w:asciiTheme="minorHAnsi" w:hAnsiTheme="minorHAnsi" w:cstheme="minorHAnsi"/>
                <w:lang w:val="de-CH"/>
              </w:rPr>
              <w:t>e</w:t>
            </w:r>
            <w:r w:rsidRPr="002E7C29">
              <w:rPr>
                <w:rFonts w:asciiTheme="minorHAnsi" w:hAnsiTheme="minorHAnsi" w:cstheme="minorHAnsi"/>
                <w:lang w:val="de-CH"/>
              </w:rPr>
              <w:t xml:space="preserve">rücksichtigen ist, da das Gesetz wie vorerwähnt den Kreis der zugelassenen Prüfgesellschaften nicht einschränkt. </w:t>
            </w:r>
          </w:p>
        </w:tc>
      </w:tr>
    </w:tbl>
    <w:p w:rsidR="00282D7A" w:rsidRPr="00282D7A" w:rsidRDefault="00282D7A">
      <w:pPr>
        <w:rPr>
          <w:lang w:val="de-CH"/>
        </w:rPr>
      </w:pPr>
      <w:r w:rsidRPr="00282D7A">
        <w:rPr>
          <w:lang w:val="de-CH"/>
        </w:rPr>
        <w:br w:type="page"/>
      </w:r>
    </w:p>
    <w:tbl>
      <w:tblPr>
        <w:tblStyle w:val="Tabellenraster"/>
        <w:tblW w:w="0" w:type="auto"/>
        <w:tblLook w:val="04A0" w:firstRow="1" w:lastRow="0" w:firstColumn="1" w:lastColumn="0" w:noHBand="0" w:noVBand="1"/>
      </w:tblPr>
      <w:tblGrid>
        <w:gridCol w:w="4673"/>
        <w:gridCol w:w="4111"/>
        <w:gridCol w:w="3827"/>
      </w:tblGrid>
      <w:tr w:rsidR="002E7C29" w:rsidRPr="006D666F" w:rsidTr="00172E47">
        <w:tc>
          <w:tcPr>
            <w:tcW w:w="4673" w:type="dxa"/>
            <w:shd w:val="clear" w:color="auto" w:fill="D9D9D9" w:themeFill="background1" w:themeFillShade="D9"/>
          </w:tcPr>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i/>
                <w:lang w:val="de-CH"/>
              </w:rPr>
              <w:lastRenderedPageBreak/>
              <w:t>Art. 11d Abs. 1 Einleitungssatz</w:t>
            </w:r>
          </w:p>
        </w:tc>
        <w:tc>
          <w:tcPr>
            <w:tcW w:w="4111" w:type="dxa"/>
            <w:shd w:val="clear" w:color="auto" w:fill="D9D9D9" w:themeFill="background1" w:themeFillShade="D9"/>
          </w:tcPr>
          <w:p w:rsidR="002E7C29" w:rsidRPr="002E7C29" w:rsidRDefault="002E7C29" w:rsidP="00E47EC1">
            <w:pPr>
              <w:pStyle w:val="KeinLeerraum"/>
              <w:rPr>
                <w:rFonts w:asciiTheme="minorHAnsi" w:hAnsiTheme="minorHAnsi" w:cstheme="minorHAnsi"/>
                <w:lang w:val="de-CH"/>
              </w:rPr>
            </w:pPr>
          </w:p>
        </w:tc>
        <w:tc>
          <w:tcPr>
            <w:tcW w:w="3827" w:type="dxa"/>
            <w:shd w:val="clear" w:color="auto" w:fill="D9D9D9" w:themeFill="background1" w:themeFillShade="D9"/>
          </w:tcPr>
          <w:p w:rsidR="002E7C29" w:rsidRPr="002E7C29" w:rsidRDefault="002E7C29" w:rsidP="00E47EC1">
            <w:pPr>
              <w:pStyle w:val="KeinLeerraum"/>
              <w:rPr>
                <w:rFonts w:asciiTheme="minorHAnsi" w:hAnsiTheme="minorHAnsi" w:cstheme="minorHAnsi"/>
                <w:lang w:val="de-CH"/>
              </w:rPr>
            </w:pPr>
          </w:p>
        </w:tc>
      </w:tr>
      <w:tr w:rsidR="002E7C29" w:rsidRPr="00F22229" w:rsidTr="00477502">
        <w:tc>
          <w:tcPr>
            <w:tcW w:w="4673" w:type="dxa"/>
          </w:tcPr>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1 Die leitende Prüferin oder der leitende Prüfer verfügt über das nötige Fachwissen und die nöt</w:t>
            </w:r>
            <w:r w:rsidRPr="002E7C29">
              <w:rPr>
                <w:rFonts w:asciiTheme="minorHAnsi" w:hAnsiTheme="minorHAnsi" w:cstheme="minorHAnsi"/>
                <w:lang w:val="de-CH"/>
              </w:rPr>
              <w:t>i</w:t>
            </w:r>
            <w:r w:rsidRPr="002E7C29">
              <w:rPr>
                <w:rFonts w:asciiTheme="minorHAnsi" w:hAnsiTheme="minorHAnsi" w:cstheme="minorHAnsi"/>
                <w:lang w:val="de-CH"/>
              </w:rPr>
              <w:t>ge Praxiserfahrung für die Zulassung zur Prüfung von Banken, Finanzmarktinfrastrukturen,</w:t>
            </w:r>
          </w:p>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Finanzgruppen und öffentlichen Kaufangeboten, Effektenhändlern und Pfandbriefzentralen (Art. 11</w:t>
            </w:r>
            <w:r w:rsidRPr="002E7C29">
              <w:rPr>
                <w:rFonts w:asciiTheme="minorHAnsi" w:hAnsiTheme="minorHAnsi" w:cstheme="minorHAnsi"/>
                <w:i/>
                <w:lang w:val="de-CH"/>
              </w:rPr>
              <w:t xml:space="preserve">a </w:t>
            </w:r>
            <w:r w:rsidRPr="002E7C29">
              <w:rPr>
                <w:rFonts w:asciiTheme="minorHAnsi" w:hAnsiTheme="minorHAnsi" w:cstheme="minorHAnsi"/>
                <w:lang w:val="de-CH"/>
              </w:rPr>
              <w:t>Bst. a), wenn sie oder er folgende Nachweise erbringt:</w:t>
            </w:r>
          </w:p>
        </w:tc>
        <w:tc>
          <w:tcPr>
            <w:tcW w:w="4111" w:type="dxa"/>
          </w:tcPr>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1 Die leitende Prüferin oder der leitende Prüfer verfügt über das nötige Fachwissen und die nötige Praxiserfahrung für die Z</w:t>
            </w:r>
            <w:r w:rsidRPr="002E7C29">
              <w:rPr>
                <w:rFonts w:asciiTheme="minorHAnsi" w:hAnsiTheme="minorHAnsi" w:cstheme="minorHAnsi"/>
                <w:lang w:val="de-CH"/>
              </w:rPr>
              <w:t>u</w:t>
            </w:r>
            <w:r w:rsidRPr="002E7C29">
              <w:rPr>
                <w:rFonts w:asciiTheme="minorHAnsi" w:hAnsiTheme="minorHAnsi" w:cstheme="minorHAnsi"/>
                <w:lang w:val="de-CH"/>
              </w:rPr>
              <w:t>lassung zur Prüfung von Banken, Finan</w:t>
            </w:r>
            <w:r w:rsidRPr="002E7C29">
              <w:rPr>
                <w:rFonts w:asciiTheme="minorHAnsi" w:hAnsiTheme="minorHAnsi" w:cstheme="minorHAnsi"/>
                <w:lang w:val="de-CH"/>
              </w:rPr>
              <w:t>z</w:t>
            </w:r>
            <w:r w:rsidRPr="002E7C29">
              <w:rPr>
                <w:rFonts w:asciiTheme="minorHAnsi" w:hAnsiTheme="minorHAnsi" w:cstheme="minorHAnsi"/>
                <w:lang w:val="de-CH"/>
              </w:rPr>
              <w:t>marktinfrastrukturen</w:t>
            </w:r>
            <w:r w:rsidRPr="002E7C29">
              <w:rPr>
                <w:rFonts w:asciiTheme="minorHAnsi" w:hAnsiTheme="minorHAnsi" w:cstheme="minorHAnsi"/>
                <w:b/>
                <w:strike/>
                <w:lang w:val="de-CH"/>
              </w:rPr>
              <w:t xml:space="preserve">, </w:t>
            </w:r>
            <w:r w:rsidRPr="002E7C29">
              <w:rPr>
                <w:rFonts w:asciiTheme="minorHAnsi" w:hAnsiTheme="minorHAnsi" w:cstheme="minorHAnsi"/>
                <w:b/>
                <w:lang w:val="de-CH"/>
              </w:rPr>
              <w:t xml:space="preserve">und </w:t>
            </w:r>
            <w:r w:rsidRPr="002E7C29">
              <w:rPr>
                <w:rFonts w:asciiTheme="minorHAnsi" w:hAnsiTheme="minorHAnsi" w:cstheme="minorHAnsi"/>
                <w:lang w:val="de-CH"/>
              </w:rPr>
              <w:t xml:space="preserve">Finanzgruppen </w:t>
            </w:r>
            <w:r w:rsidRPr="002E7C29">
              <w:rPr>
                <w:rFonts w:asciiTheme="minorHAnsi" w:hAnsiTheme="minorHAnsi" w:cstheme="minorHAnsi"/>
                <w:b/>
                <w:strike/>
                <w:lang w:val="de-CH"/>
              </w:rPr>
              <w:t>und öffentlichen Kaufangeboten</w:t>
            </w:r>
            <w:r w:rsidRPr="002E7C29">
              <w:rPr>
                <w:rFonts w:asciiTheme="minorHAnsi" w:hAnsiTheme="minorHAnsi" w:cstheme="minorHAnsi"/>
                <w:lang w:val="de-CH"/>
              </w:rPr>
              <w:t>, Effe</w:t>
            </w:r>
            <w:r w:rsidRPr="002E7C29">
              <w:rPr>
                <w:rFonts w:asciiTheme="minorHAnsi" w:hAnsiTheme="minorHAnsi" w:cstheme="minorHAnsi"/>
                <w:lang w:val="de-CH"/>
              </w:rPr>
              <w:t>k</w:t>
            </w:r>
            <w:r w:rsidRPr="002E7C29">
              <w:rPr>
                <w:rFonts w:asciiTheme="minorHAnsi" w:hAnsiTheme="minorHAnsi" w:cstheme="minorHAnsi"/>
                <w:lang w:val="de-CH"/>
              </w:rPr>
              <w:t>tenhändlern und Pfandbriefzentralen (Art. 11</w:t>
            </w:r>
            <w:r w:rsidRPr="002E7C29">
              <w:rPr>
                <w:rFonts w:asciiTheme="minorHAnsi" w:hAnsiTheme="minorHAnsi" w:cstheme="minorHAnsi"/>
                <w:i/>
                <w:lang w:val="de-CH"/>
              </w:rPr>
              <w:t xml:space="preserve">a </w:t>
            </w:r>
            <w:r w:rsidRPr="002E7C29">
              <w:rPr>
                <w:rFonts w:asciiTheme="minorHAnsi" w:hAnsiTheme="minorHAnsi" w:cstheme="minorHAnsi"/>
                <w:lang w:val="de-CH"/>
              </w:rPr>
              <w:t>Bst. a), wenn sie oder er folgende Nachweise erbringt:</w:t>
            </w:r>
          </w:p>
        </w:tc>
        <w:tc>
          <w:tcPr>
            <w:tcW w:w="3827" w:type="dxa"/>
          </w:tcPr>
          <w:p w:rsidR="002E7C29" w:rsidRPr="002E7C29" w:rsidRDefault="002E7C29" w:rsidP="00E47EC1">
            <w:pPr>
              <w:pStyle w:val="KeinLeerraum"/>
              <w:rPr>
                <w:rFonts w:asciiTheme="minorHAnsi" w:hAnsiTheme="minorHAnsi" w:cstheme="minorHAnsi"/>
                <w:lang w:val="de-CH"/>
              </w:rPr>
            </w:pPr>
            <w:r w:rsidRPr="002E7C29">
              <w:rPr>
                <w:rFonts w:asciiTheme="minorHAnsi" w:hAnsiTheme="minorHAnsi" w:cstheme="minorHAnsi"/>
                <w:lang w:val="de-CH"/>
              </w:rPr>
              <w:t>Zur Prüfung von öffentlichen Kaufang</w:t>
            </w:r>
            <w:r w:rsidRPr="002E7C29">
              <w:rPr>
                <w:rFonts w:asciiTheme="minorHAnsi" w:hAnsiTheme="minorHAnsi" w:cstheme="minorHAnsi"/>
                <w:lang w:val="de-CH"/>
              </w:rPr>
              <w:t>e</w:t>
            </w:r>
            <w:r w:rsidRPr="002E7C29">
              <w:rPr>
                <w:rFonts w:asciiTheme="minorHAnsi" w:hAnsiTheme="minorHAnsi" w:cstheme="minorHAnsi"/>
                <w:lang w:val="de-CH"/>
              </w:rPr>
              <w:t>boten sind zugelassene Prüfgesellscha</w:t>
            </w:r>
            <w:r w:rsidRPr="002E7C29">
              <w:rPr>
                <w:rFonts w:asciiTheme="minorHAnsi" w:hAnsiTheme="minorHAnsi" w:cstheme="minorHAnsi"/>
                <w:lang w:val="de-CH"/>
              </w:rPr>
              <w:t>f</w:t>
            </w:r>
            <w:r w:rsidRPr="002E7C29">
              <w:rPr>
                <w:rFonts w:asciiTheme="minorHAnsi" w:hAnsiTheme="minorHAnsi" w:cstheme="minorHAnsi"/>
                <w:lang w:val="de-CH"/>
              </w:rPr>
              <w:t>ten und Effektenhändler berechtigt. Da bei den Effektenhändlern keine Anford</w:t>
            </w:r>
            <w:r w:rsidRPr="002E7C29">
              <w:rPr>
                <w:rFonts w:asciiTheme="minorHAnsi" w:hAnsiTheme="minorHAnsi" w:cstheme="minorHAnsi"/>
                <w:lang w:val="de-CH"/>
              </w:rPr>
              <w:t>e</w:t>
            </w:r>
            <w:r w:rsidRPr="002E7C29">
              <w:rPr>
                <w:rFonts w:asciiTheme="minorHAnsi" w:hAnsiTheme="minorHAnsi" w:cstheme="minorHAnsi"/>
                <w:lang w:val="de-CH"/>
              </w:rPr>
              <w:t>rungen personeller Art bestehen ist im Sinne einer einheitlichen Regelung der gleichen Tätigkeit auf personelle Anfo</w:t>
            </w:r>
            <w:r w:rsidRPr="002E7C29">
              <w:rPr>
                <w:rFonts w:asciiTheme="minorHAnsi" w:hAnsiTheme="minorHAnsi" w:cstheme="minorHAnsi"/>
                <w:lang w:val="de-CH"/>
              </w:rPr>
              <w:t>r</w:t>
            </w:r>
            <w:r w:rsidRPr="002E7C29">
              <w:rPr>
                <w:rFonts w:asciiTheme="minorHAnsi" w:hAnsiTheme="minorHAnsi" w:cstheme="minorHAnsi"/>
                <w:lang w:val="de-CH"/>
              </w:rPr>
              <w:t>derungen auf Seiten der Prüfgesel</w:t>
            </w:r>
            <w:r w:rsidRPr="002E7C29">
              <w:rPr>
                <w:rFonts w:asciiTheme="minorHAnsi" w:hAnsiTheme="minorHAnsi" w:cstheme="minorHAnsi"/>
                <w:lang w:val="de-CH"/>
              </w:rPr>
              <w:t>l</w:t>
            </w:r>
            <w:r w:rsidRPr="002E7C29">
              <w:rPr>
                <w:rFonts w:asciiTheme="minorHAnsi" w:hAnsiTheme="minorHAnsi" w:cstheme="minorHAnsi"/>
                <w:lang w:val="de-CH"/>
              </w:rPr>
              <w:t xml:space="preserve">schaften zu verzichten. Es ist kein Grund ersichtlich, weshalb die bisherige Praxis geändert werden müsste. Der Begriff „öffentliche Kaufangebote“ ist daher </w:t>
            </w:r>
            <w:r w:rsidRPr="002E7C29">
              <w:rPr>
                <w:rFonts w:asciiTheme="minorHAnsi" w:hAnsiTheme="minorHAnsi" w:cstheme="minorHAnsi"/>
                <w:b/>
                <w:lang w:val="de-CH"/>
              </w:rPr>
              <w:t>ersatzlos zu streichen.</w:t>
            </w:r>
            <w:r w:rsidRPr="002E7C29">
              <w:rPr>
                <w:rFonts w:asciiTheme="minorHAnsi" w:hAnsiTheme="minorHAnsi" w:cstheme="minorHAnsi"/>
                <w:lang w:val="de-CH"/>
              </w:rPr>
              <w:t xml:space="preserve"> </w:t>
            </w:r>
          </w:p>
        </w:tc>
      </w:tr>
    </w:tbl>
    <w:p w:rsidR="00E7264A" w:rsidRPr="006D666F" w:rsidRDefault="00E7264A" w:rsidP="00E7264A">
      <w:pPr>
        <w:pStyle w:val="KeinLeerraum"/>
        <w:rPr>
          <w:lang w:val="de-CH"/>
        </w:rPr>
      </w:pPr>
    </w:p>
    <w:sectPr w:rsidR="00E7264A" w:rsidRPr="006D666F" w:rsidSect="00E7264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C5" w:rsidRDefault="00EC28C5" w:rsidP="009D7848">
      <w:pPr>
        <w:spacing w:after="0" w:line="240" w:lineRule="auto"/>
      </w:pPr>
      <w:r>
        <w:separator/>
      </w:r>
    </w:p>
  </w:endnote>
  <w:endnote w:type="continuationSeparator" w:id="0">
    <w:p w:rsidR="00EC28C5" w:rsidRDefault="00EC28C5" w:rsidP="009D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9864"/>
      <w:docPartObj>
        <w:docPartGallery w:val="Page Numbers (Bottom of Page)"/>
        <w:docPartUnique/>
      </w:docPartObj>
    </w:sdtPr>
    <w:sdtEndPr>
      <w:rPr>
        <w:noProof/>
      </w:rPr>
    </w:sdtEndPr>
    <w:sdtContent>
      <w:p w:rsidR="00477502" w:rsidRDefault="00477502">
        <w:pPr>
          <w:pStyle w:val="Fuzeile"/>
          <w:jc w:val="center"/>
        </w:pPr>
        <w:r w:rsidRPr="001E7D9A">
          <w:rPr>
            <w:rFonts w:asciiTheme="minorHAnsi" w:hAnsiTheme="minorHAnsi" w:cstheme="minorHAnsi"/>
          </w:rPr>
          <w:fldChar w:fldCharType="begin"/>
        </w:r>
        <w:r w:rsidRPr="001E7D9A">
          <w:rPr>
            <w:rFonts w:asciiTheme="minorHAnsi" w:hAnsiTheme="minorHAnsi" w:cstheme="minorHAnsi"/>
          </w:rPr>
          <w:instrText xml:space="preserve"> PAGE   \* MERGEFORMAT </w:instrText>
        </w:r>
        <w:r w:rsidRPr="001E7D9A">
          <w:rPr>
            <w:rFonts w:asciiTheme="minorHAnsi" w:hAnsiTheme="minorHAnsi" w:cstheme="minorHAnsi"/>
          </w:rPr>
          <w:fldChar w:fldCharType="separate"/>
        </w:r>
        <w:r w:rsidR="008B33A3">
          <w:rPr>
            <w:rFonts w:asciiTheme="minorHAnsi" w:hAnsiTheme="minorHAnsi" w:cstheme="minorHAnsi"/>
            <w:noProof/>
          </w:rPr>
          <w:t>1</w:t>
        </w:r>
        <w:r w:rsidRPr="001E7D9A">
          <w:rPr>
            <w:rFonts w:asciiTheme="minorHAnsi" w:hAnsiTheme="minorHAnsi" w:cstheme="minorHAnsi"/>
            <w:noProof/>
          </w:rPr>
          <w:fldChar w:fldCharType="end"/>
        </w:r>
      </w:p>
    </w:sdtContent>
  </w:sdt>
  <w:p w:rsidR="00477502" w:rsidRDefault="004775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C5" w:rsidRDefault="00EC28C5" w:rsidP="009D7848">
      <w:pPr>
        <w:spacing w:after="0" w:line="240" w:lineRule="auto"/>
      </w:pPr>
      <w:r>
        <w:separator/>
      </w:r>
    </w:p>
  </w:footnote>
  <w:footnote w:type="continuationSeparator" w:id="0">
    <w:p w:rsidR="00EC28C5" w:rsidRDefault="00EC28C5" w:rsidP="009D7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502" w:rsidRPr="00477502" w:rsidRDefault="00477502">
    <w:pPr>
      <w:pStyle w:val="Kopfzeile"/>
      <w:rPr>
        <w:rFonts w:ascii="Arial" w:hAnsi="Arial" w:cs="Arial"/>
        <w:lang w:val="de-CH"/>
      </w:rPr>
    </w:pPr>
    <w:r w:rsidRPr="00477502">
      <w:rPr>
        <w:rFonts w:ascii="Arial" w:hAnsi="Arial" w:cs="Arial"/>
        <w:noProof/>
        <w:lang w:val="de-CH" w:eastAsia="de-CH"/>
      </w:rPr>
      <w:drawing>
        <wp:anchor distT="0" distB="0" distL="114300" distR="114300" simplePos="0" relativeHeight="251659264" behindDoc="0" locked="0" layoutInCell="1" allowOverlap="1" wp14:anchorId="19233F93" wp14:editId="784A99D4">
          <wp:simplePos x="0" y="0"/>
          <wp:positionH relativeFrom="margin">
            <wp:posOffset>4550800</wp:posOffset>
          </wp:positionH>
          <wp:positionV relativeFrom="margin">
            <wp:posOffset>-828430</wp:posOffset>
          </wp:positionV>
          <wp:extent cx="3769923" cy="703384"/>
          <wp:effectExtent l="0" t="0" r="2540" b="1905"/>
          <wp:wrapNone/>
          <wp:docPr id="15" name="Grafik 15" descr="V:\Akzidenzen\8001\EXPERTsuisse\400d.000000_Wordvorlagen\x_Adresse_fuer_Word\Logo_BB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zidenzen\8001\EXPERTsuisse\400d.000000_Wordvorlagen\x_Adresse_fuer_Word\Logo_BB_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9923" cy="7033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502">
      <w:rPr>
        <w:rFonts w:ascii="Arial" w:hAnsi="Arial" w:cs="Arial"/>
        <w:lang w:val="de-CH"/>
      </w:rPr>
      <w:t>Anhörung E-FinfraV</w:t>
    </w:r>
  </w:p>
  <w:p w:rsidR="00477502" w:rsidRPr="00477502" w:rsidRDefault="00477502">
    <w:pPr>
      <w:pStyle w:val="Kopfzeile"/>
      <w:rPr>
        <w:rFonts w:ascii="Arial" w:hAnsi="Arial" w:cs="Arial"/>
        <w:lang w:val="de-CH"/>
      </w:rPr>
    </w:pPr>
    <w:r w:rsidRPr="00477502">
      <w:rPr>
        <w:rFonts w:ascii="Arial" w:hAnsi="Arial" w:cs="Arial"/>
        <w:lang w:val="de-CH"/>
      </w:rPr>
      <w:t xml:space="preserve">Anhang zur Stellungnahme vom 2. Oktober 2015 von </w:t>
    </w:r>
    <w:r w:rsidRPr="003A21BD">
      <w:rPr>
        <w:rFonts w:ascii="Arial" w:hAnsi="Arial" w:cs="Arial"/>
        <w:lang w:val="de-CH"/>
      </w:rPr>
      <w:t>EXPERTsuisse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A45"/>
    <w:multiLevelType w:val="hybridMultilevel"/>
    <w:tmpl w:val="A41410D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24464D85"/>
    <w:multiLevelType w:val="hybridMultilevel"/>
    <w:tmpl w:val="584A778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63EA640E"/>
    <w:multiLevelType w:val="hybridMultilevel"/>
    <w:tmpl w:val="23C8289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6B2E2094"/>
    <w:multiLevelType w:val="hybridMultilevel"/>
    <w:tmpl w:val="5D26F3A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771C45E6"/>
    <w:multiLevelType w:val="hybridMultilevel"/>
    <w:tmpl w:val="4C967FE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7DF04523"/>
    <w:multiLevelType w:val="hybridMultilevel"/>
    <w:tmpl w:val="ABA4451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4A"/>
    <w:rsid w:val="00003B9A"/>
    <w:rsid w:val="00005A66"/>
    <w:rsid w:val="0001358B"/>
    <w:rsid w:val="00027CC8"/>
    <w:rsid w:val="00066EAA"/>
    <w:rsid w:val="00085CF3"/>
    <w:rsid w:val="00096D5B"/>
    <w:rsid w:val="000D0316"/>
    <w:rsid w:val="000D60FD"/>
    <w:rsid w:val="00103A2C"/>
    <w:rsid w:val="00114A5D"/>
    <w:rsid w:val="00121C15"/>
    <w:rsid w:val="00153E42"/>
    <w:rsid w:val="00172E47"/>
    <w:rsid w:val="001738AE"/>
    <w:rsid w:val="00176947"/>
    <w:rsid w:val="00185256"/>
    <w:rsid w:val="001909F8"/>
    <w:rsid w:val="00193C33"/>
    <w:rsid w:val="001B4122"/>
    <w:rsid w:val="001C60A4"/>
    <w:rsid w:val="001D3E79"/>
    <w:rsid w:val="001E7D9A"/>
    <w:rsid w:val="00200B0A"/>
    <w:rsid w:val="00201358"/>
    <w:rsid w:val="00204BCF"/>
    <w:rsid w:val="002157B2"/>
    <w:rsid w:val="0021679E"/>
    <w:rsid w:val="00236AA6"/>
    <w:rsid w:val="00282D7A"/>
    <w:rsid w:val="002836AE"/>
    <w:rsid w:val="002A4ECD"/>
    <w:rsid w:val="002B1106"/>
    <w:rsid w:val="002B4DCF"/>
    <w:rsid w:val="002E67C7"/>
    <w:rsid w:val="002E7C29"/>
    <w:rsid w:val="002F22D8"/>
    <w:rsid w:val="00334C64"/>
    <w:rsid w:val="00343817"/>
    <w:rsid w:val="00362700"/>
    <w:rsid w:val="00364F4D"/>
    <w:rsid w:val="00367FE3"/>
    <w:rsid w:val="003A1479"/>
    <w:rsid w:val="003A21BD"/>
    <w:rsid w:val="003A5EE6"/>
    <w:rsid w:val="003B1C48"/>
    <w:rsid w:val="003F2F22"/>
    <w:rsid w:val="004114FC"/>
    <w:rsid w:val="00436F8D"/>
    <w:rsid w:val="00463A0B"/>
    <w:rsid w:val="00477502"/>
    <w:rsid w:val="00482A76"/>
    <w:rsid w:val="004878C8"/>
    <w:rsid w:val="004A7DD0"/>
    <w:rsid w:val="004B4634"/>
    <w:rsid w:val="004D17E9"/>
    <w:rsid w:val="004E699A"/>
    <w:rsid w:val="005316ED"/>
    <w:rsid w:val="005374CE"/>
    <w:rsid w:val="0054000D"/>
    <w:rsid w:val="00560862"/>
    <w:rsid w:val="005673FF"/>
    <w:rsid w:val="005927C5"/>
    <w:rsid w:val="005B6BEC"/>
    <w:rsid w:val="005C47DB"/>
    <w:rsid w:val="005C4E47"/>
    <w:rsid w:val="005E5F8C"/>
    <w:rsid w:val="00607912"/>
    <w:rsid w:val="00623D0B"/>
    <w:rsid w:val="00637997"/>
    <w:rsid w:val="00640960"/>
    <w:rsid w:val="006733EB"/>
    <w:rsid w:val="006C1E6D"/>
    <w:rsid w:val="006C2665"/>
    <w:rsid w:val="006D4AC9"/>
    <w:rsid w:val="006D56BB"/>
    <w:rsid w:val="006D666F"/>
    <w:rsid w:val="006E6E65"/>
    <w:rsid w:val="006E6E86"/>
    <w:rsid w:val="006F43B0"/>
    <w:rsid w:val="006F6A69"/>
    <w:rsid w:val="0070034B"/>
    <w:rsid w:val="00702263"/>
    <w:rsid w:val="00710E6E"/>
    <w:rsid w:val="007119E0"/>
    <w:rsid w:val="0074037A"/>
    <w:rsid w:val="007449F7"/>
    <w:rsid w:val="0074541B"/>
    <w:rsid w:val="007477C9"/>
    <w:rsid w:val="00753F07"/>
    <w:rsid w:val="00754C4C"/>
    <w:rsid w:val="007552BB"/>
    <w:rsid w:val="00774432"/>
    <w:rsid w:val="007927E7"/>
    <w:rsid w:val="007B575A"/>
    <w:rsid w:val="007B711B"/>
    <w:rsid w:val="007E0804"/>
    <w:rsid w:val="007E6DC5"/>
    <w:rsid w:val="007F1C1E"/>
    <w:rsid w:val="007F3CA3"/>
    <w:rsid w:val="00801743"/>
    <w:rsid w:val="00810AB5"/>
    <w:rsid w:val="0082313C"/>
    <w:rsid w:val="00825AE3"/>
    <w:rsid w:val="00850FA4"/>
    <w:rsid w:val="00854341"/>
    <w:rsid w:val="00857D88"/>
    <w:rsid w:val="0089137B"/>
    <w:rsid w:val="008A14A5"/>
    <w:rsid w:val="008B33A3"/>
    <w:rsid w:val="008B6059"/>
    <w:rsid w:val="008C2719"/>
    <w:rsid w:val="008D2426"/>
    <w:rsid w:val="008F194C"/>
    <w:rsid w:val="008F5EB6"/>
    <w:rsid w:val="009112EA"/>
    <w:rsid w:val="009311A7"/>
    <w:rsid w:val="00951509"/>
    <w:rsid w:val="00960906"/>
    <w:rsid w:val="0098704B"/>
    <w:rsid w:val="009B43F8"/>
    <w:rsid w:val="009B7815"/>
    <w:rsid w:val="009C225F"/>
    <w:rsid w:val="009D534B"/>
    <w:rsid w:val="009D58DF"/>
    <w:rsid w:val="009D7848"/>
    <w:rsid w:val="00A131C8"/>
    <w:rsid w:val="00A41623"/>
    <w:rsid w:val="00A4259D"/>
    <w:rsid w:val="00A43B0B"/>
    <w:rsid w:val="00A52DCF"/>
    <w:rsid w:val="00A640BE"/>
    <w:rsid w:val="00A66B99"/>
    <w:rsid w:val="00A71AAC"/>
    <w:rsid w:val="00A8664A"/>
    <w:rsid w:val="00A9077F"/>
    <w:rsid w:val="00AA48F6"/>
    <w:rsid w:val="00AB23CA"/>
    <w:rsid w:val="00AD3E1F"/>
    <w:rsid w:val="00B116FF"/>
    <w:rsid w:val="00B4452B"/>
    <w:rsid w:val="00B56E1F"/>
    <w:rsid w:val="00B9567C"/>
    <w:rsid w:val="00BA764E"/>
    <w:rsid w:val="00BC066D"/>
    <w:rsid w:val="00BC5052"/>
    <w:rsid w:val="00BE27DB"/>
    <w:rsid w:val="00C36708"/>
    <w:rsid w:val="00C3714B"/>
    <w:rsid w:val="00C40413"/>
    <w:rsid w:val="00C40571"/>
    <w:rsid w:val="00C44E20"/>
    <w:rsid w:val="00CA4883"/>
    <w:rsid w:val="00CC3427"/>
    <w:rsid w:val="00CD75F0"/>
    <w:rsid w:val="00CF1DEA"/>
    <w:rsid w:val="00D051E1"/>
    <w:rsid w:val="00D302E3"/>
    <w:rsid w:val="00D406E6"/>
    <w:rsid w:val="00D51887"/>
    <w:rsid w:val="00D66B22"/>
    <w:rsid w:val="00D756C8"/>
    <w:rsid w:val="00D75ED7"/>
    <w:rsid w:val="00D83348"/>
    <w:rsid w:val="00D914F1"/>
    <w:rsid w:val="00DE37FC"/>
    <w:rsid w:val="00DE42CF"/>
    <w:rsid w:val="00DE53D3"/>
    <w:rsid w:val="00DF034A"/>
    <w:rsid w:val="00DF60DD"/>
    <w:rsid w:val="00E02FBF"/>
    <w:rsid w:val="00E03773"/>
    <w:rsid w:val="00E06E0C"/>
    <w:rsid w:val="00E15CD1"/>
    <w:rsid w:val="00E23EC2"/>
    <w:rsid w:val="00E26279"/>
    <w:rsid w:val="00E26E05"/>
    <w:rsid w:val="00E42442"/>
    <w:rsid w:val="00E7264A"/>
    <w:rsid w:val="00E7431F"/>
    <w:rsid w:val="00E81ED2"/>
    <w:rsid w:val="00E83C48"/>
    <w:rsid w:val="00EA1039"/>
    <w:rsid w:val="00EA56D2"/>
    <w:rsid w:val="00EB412A"/>
    <w:rsid w:val="00EC28C5"/>
    <w:rsid w:val="00EC79B1"/>
    <w:rsid w:val="00EF6D07"/>
    <w:rsid w:val="00F17BA4"/>
    <w:rsid w:val="00F22229"/>
    <w:rsid w:val="00F507E9"/>
    <w:rsid w:val="00F663B6"/>
    <w:rsid w:val="00F92147"/>
    <w:rsid w:val="00FC3A79"/>
    <w:rsid w:val="00FD4DB8"/>
    <w:rsid w:val="00FE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04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E7264A"/>
    <w:pPr>
      <w:spacing w:after="0" w:line="240" w:lineRule="auto"/>
    </w:pPr>
  </w:style>
  <w:style w:type="table" w:styleId="Tabellenraster">
    <w:name w:val="Table Grid"/>
    <w:basedOn w:val="NormaleTabelle"/>
    <w:uiPriority w:val="39"/>
    <w:rsid w:val="00E7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D78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7848"/>
  </w:style>
  <w:style w:type="paragraph" w:styleId="Fuzeile">
    <w:name w:val="footer"/>
    <w:basedOn w:val="Standard"/>
    <w:link w:val="FuzeileZchn"/>
    <w:uiPriority w:val="99"/>
    <w:unhideWhenUsed/>
    <w:rsid w:val="009D78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7848"/>
  </w:style>
  <w:style w:type="paragraph" w:styleId="Sprechblasentext">
    <w:name w:val="Balloon Text"/>
    <w:basedOn w:val="Standard"/>
    <w:link w:val="SprechblasentextZchn"/>
    <w:uiPriority w:val="99"/>
    <w:semiHidden/>
    <w:unhideWhenUsed/>
    <w:rsid w:val="002E7C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7C29"/>
    <w:rPr>
      <w:rFonts w:ascii="Tahoma" w:hAnsi="Tahoma" w:cs="Tahoma"/>
      <w:sz w:val="16"/>
      <w:szCs w:val="16"/>
    </w:rPr>
  </w:style>
  <w:style w:type="character" w:customStyle="1" w:styleId="KeinLeerraumZchn">
    <w:name w:val="Kein Leerraum Zchn"/>
    <w:basedOn w:val="Absatz-Standardschriftart"/>
    <w:link w:val="KeinLeerraum"/>
    <w:uiPriority w:val="1"/>
    <w:rsid w:val="00172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04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E7264A"/>
    <w:pPr>
      <w:spacing w:after="0" w:line="240" w:lineRule="auto"/>
    </w:pPr>
  </w:style>
  <w:style w:type="table" w:styleId="Tabellenraster">
    <w:name w:val="Table Grid"/>
    <w:basedOn w:val="NormaleTabelle"/>
    <w:uiPriority w:val="39"/>
    <w:rsid w:val="00E7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D78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7848"/>
  </w:style>
  <w:style w:type="paragraph" w:styleId="Fuzeile">
    <w:name w:val="footer"/>
    <w:basedOn w:val="Standard"/>
    <w:link w:val="FuzeileZchn"/>
    <w:uiPriority w:val="99"/>
    <w:unhideWhenUsed/>
    <w:rsid w:val="009D78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7848"/>
  </w:style>
  <w:style w:type="paragraph" w:styleId="Sprechblasentext">
    <w:name w:val="Balloon Text"/>
    <w:basedOn w:val="Standard"/>
    <w:link w:val="SprechblasentextZchn"/>
    <w:uiPriority w:val="99"/>
    <w:semiHidden/>
    <w:unhideWhenUsed/>
    <w:rsid w:val="002E7C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7C29"/>
    <w:rPr>
      <w:rFonts w:ascii="Tahoma" w:hAnsi="Tahoma" w:cs="Tahoma"/>
      <w:sz w:val="16"/>
      <w:szCs w:val="16"/>
    </w:rPr>
  </w:style>
  <w:style w:type="character" w:customStyle="1" w:styleId="KeinLeerraumZchn">
    <w:name w:val="Kein Leerraum Zchn"/>
    <w:basedOn w:val="Absatz-Standardschriftart"/>
    <w:link w:val="KeinLeerraum"/>
    <w:uiPriority w:val="1"/>
    <w:rsid w:val="0017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3203</Words>
  <Characters>20182</Characters>
  <Application>Microsoft Office Word</Application>
  <DocSecurity>0</DocSecurity>
  <Lines>168</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Portmann</dc:creator>
  <cp:lastModifiedBy>Patrizia Pabst</cp:lastModifiedBy>
  <cp:revision>5</cp:revision>
  <dcterms:created xsi:type="dcterms:W3CDTF">2015-10-01T12:44:00Z</dcterms:created>
  <dcterms:modified xsi:type="dcterms:W3CDTF">2015-10-02T06:17:00Z</dcterms:modified>
</cp:coreProperties>
</file>